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D9C8" w14:textId="77777777" w:rsidR="00044886" w:rsidRPr="00046A8F" w:rsidRDefault="00044886" w:rsidP="00052B42">
      <w:pPr>
        <w:jc w:val="both"/>
        <w:rPr>
          <w:noProof/>
          <w:lang w:eastAsia="en-IN"/>
        </w:rPr>
      </w:pPr>
      <w:bookmarkStart w:id="0" w:name="_GoBack"/>
      <w:bookmarkEnd w:id="0"/>
    </w:p>
    <w:p w14:paraId="6944B5E1" w14:textId="77777777" w:rsidR="00044886" w:rsidRPr="00046A8F" w:rsidRDefault="00044886" w:rsidP="00052B42">
      <w:pPr>
        <w:jc w:val="both"/>
        <w:rPr>
          <w:rFonts w:ascii="Arial" w:hAnsi="Arial" w:cs="Arial"/>
          <w:b/>
        </w:rPr>
      </w:pPr>
      <w:bookmarkStart w:id="1" w:name="_Hlk516755702"/>
    </w:p>
    <w:p w14:paraId="0C026BFB" w14:textId="77777777" w:rsidR="00044886" w:rsidRPr="00046A8F" w:rsidRDefault="00044886" w:rsidP="00052B42">
      <w:pPr>
        <w:jc w:val="both"/>
        <w:rPr>
          <w:rFonts w:ascii="Arial" w:hAnsi="Arial" w:cs="Arial"/>
          <w:b/>
        </w:rPr>
      </w:pPr>
    </w:p>
    <w:p w14:paraId="53F53D98" w14:textId="77777777" w:rsidR="00044886" w:rsidRPr="00046A8F" w:rsidRDefault="00044886" w:rsidP="00052B42">
      <w:pPr>
        <w:jc w:val="both"/>
        <w:rPr>
          <w:rFonts w:ascii="Arial" w:hAnsi="Arial" w:cs="Arial"/>
          <w:b/>
        </w:rPr>
      </w:pPr>
    </w:p>
    <w:p w14:paraId="0248E004" w14:textId="77777777" w:rsidR="00044886" w:rsidRPr="00046A8F" w:rsidRDefault="00044886" w:rsidP="00052B42">
      <w:pPr>
        <w:spacing w:after="0"/>
        <w:jc w:val="both"/>
        <w:rPr>
          <w:rFonts w:ascii="Arial" w:hAnsi="Arial" w:cs="Arial"/>
          <w:b/>
        </w:rPr>
      </w:pPr>
    </w:p>
    <w:p w14:paraId="40C6AD3B" w14:textId="77777777" w:rsidR="00044886" w:rsidRPr="00046A8F" w:rsidRDefault="00044886" w:rsidP="00052B42">
      <w:pPr>
        <w:spacing w:after="0"/>
        <w:jc w:val="both"/>
        <w:rPr>
          <w:rFonts w:ascii="Arial" w:hAnsi="Arial" w:cs="Arial"/>
          <w:b/>
          <w:sz w:val="40"/>
          <w:szCs w:val="40"/>
        </w:rPr>
      </w:pPr>
    </w:p>
    <w:p w14:paraId="20F0779F" w14:textId="77777777" w:rsidR="00044886" w:rsidRPr="00046A8F" w:rsidRDefault="00044886" w:rsidP="00052B42">
      <w:pPr>
        <w:spacing w:after="0"/>
        <w:jc w:val="both"/>
        <w:rPr>
          <w:rFonts w:ascii="Arial" w:hAnsi="Arial" w:cs="Arial"/>
          <w:b/>
          <w:sz w:val="40"/>
          <w:szCs w:val="40"/>
        </w:rPr>
      </w:pPr>
    </w:p>
    <w:p w14:paraId="4429C84F" w14:textId="77777777" w:rsidR="00044886" w:rsidRPr="00046A8F" w:rsidRDefault="00044886" w:rsidP="00052B42">
      <w:pPr>
        <w:spacing w:after="0"/>
        <w:jc w:val="both"/>
        <w:rPr>
          <w:rFonts w:ascii="Arial" w:hAnsi="Arial" w:cs="Arial"/>
          <w:b/>
          <w:sz w:val="40"/>
          <w:szCs w:val="40"/>
        </w:rPr>
      </w:pPr>
    </w:p>
    <w:p w14:paraId="11F6455C" w14:textId="77777777" w:rsidR="00044886" w:rsidRPr="00046A8F" w:rsidRDefault="003A681A" w:rsidP="000C5F88">
      <w:pPr>
        <w:spacing w:after="0"/>
        <w:jc w:val="center"/>
        <w:rPr>
          <w:rFonts w:ascii="Arial" w:hAnsi="Arial" w:cs="Arial"/>
          <w:b/>
          <w:sz w:val="40"/>
          <w:szCs w:val="40"/>
        </w:rPr>
      </w:pPr>
      <w:r w:rsidRPr="00046A8F">
        <w:rPr>
          <w:rFonts w:ascii="Arial" w:hAnsi="Arial" w:cs="Arial"/>
          <w:b/>
          <w:sz w:val="40"/>
          <w:szCs w:val="40"/>
        </w:rPr>
        <w:t>MANAPPURAM FINANCE LTD (MAFIL)</w:t>
      </w:r>
    </w:p>
    <w:p w14:paraId="2FCF98EA" w14:textId="77777777" w:rsidR="00044886" w:rsidRPr="00046A8F" w:rsidRDefault="00044886" w:rsidP="000C5F88">
      <w:pPr>
        <w:spacing w:after="0"/>
        <w:jc w:val="center"/>
        <w:rPr>
          <w:rFonts w:ascii="Arial" w:hAnsi="Arial" w:cs="Arial"/>
          <w:b/>
          <w:sz w:val="40"/>
          <w:szCs w:val="40"/>
        </w:rPr>
      </w:pPr>
    </w:p>
    <w:p w14:paraId="4A2A0F37" w14:textId="77777777" w:rsidR="00044886" w:rsidRPr="00046A8F" w:rsidRDefault="00044886" w:rsidP="000C5F88">
      <w:pPr>
        <w:spacing w:after="0"/>
        <w:jc w:val="center"/>
        <w:rPr>
          <w:rFonts w:ascii="Arial" w:hAnsi="Arial" w:cs="Arial"/>
          <w:b/>
          <w:sz w:val="40"/>
          <w:szCs w:val="40"/>
        </w:rPr>
      </w:pPr>
      <w:r w:rsidRPr="00046A8F">
        <w:rPr>
          <w:rFonts w:ascii="Arial" w:hAnsi="Arial" w:cs="Arial"/>
          <w:b/>
          <w:sz w:val="40"/>
          <w:szCs w:val="40"/>
        </w:rPr>
        <w:t xml:space="preserve"> POLICY</w:t>
      </w:r>
      <w:r w:rsidR="00BE1B55" w:rsidRPr="00046A8F">
        <w:rPr>
          <w:rFonts w:ascii="Arial" w:hAnsi="Arial" w:cs="Arial"/>
          <w:b/>
          <w:sz w:val="40"/>
          <w:szCs w:val="40"/>
        </w:rPr>
        <w:t xml:space="preserve"> </w:t>
      </w:r>
      <w:r w:rsidR="00932119">
        <w:rPr>
          <w:rFonts w:ascii="Arial" w:hAnsi="Arial" w:cs="Arial"/>
          <w:b/>
          <w:sz w:val="40"/>
          <w:szCs w:val="40"/>
        </w:rPr>
        <w:t>ON</w:t>
      </w:r>
      <w:r w:rsidR="00BE1B55" w:rsidRPr="00046A8F">
        <w:rPr>
          <w:rFonts w:ascii="Arial" w:hAnsi="Arial" w:cs="Arial"/>
          <w:b/>
          <w:sz w:val="40"/>
          <w:szCs w:val="40"/>
        </w:rPr>
        <w:t xml:space="preserve"> RESOURCE PLANNING</w:t>
      </w:r>
    </w:p>
    <w:p w14:paraId="4A969263" w14:textId="77777777" w:rsidR="00044886" w:rsidRPr="00046A8F" w:rsidRDefault="00044886" w:rsidP="00052B42">
      <w:pPr>
        <w:spacing w:after="0"/>
        <w:jc w:val="both"/>
        <w:rPr>
          <w:rFonts w:ascii="Arial" w:hAnsi="Arial" w:cs="Arial"/>
          <w:b/>
        </w:rPr>
      </w:pPr>
      <w:bookmarkStart w:id="2" w:name="_Hlk516565065"/>
    </w:p>
    <w:p w14:paraId="0D7ABEE7" w14:textId="77777777" w:rsidR="00044886" w:rsidRPr="00046A8F" w:rsidRDefault="00044886" w:rsidP="00052B42">
      <w:pPr>
        <w:spacing w:after="0"/>
        <w:jc w:val="both"/>
        <w:rPr>
          <w:rFonts w:ascii="Arial" w:hAnsi="Arial" w:cs="Arial"/>
          <w:b/>
        </w:rPr>
      </w:pPr>
    </w:p>
    <w:tbl>
      <w:tblPr>
        <w:tblStyle w:val="TableGrid"/>
        <w:tblW w:w="8843" w:type="dxa"/>
        <w:tblLook w:val="04A0" w:firstRow="1" w:lastRow="0" w:firstColumn="1" w:lastColumn="0" w:noHBand="0" w:noVBand="1"/>
      </w:tblPr>
      <w:tblGrid>
        <w:gridCol w:w="2335"/>
        <w:gridCol w:w="3780"/>
        <w:gridCol w:w="2728"/>
      </w:tblGrid>
      <w:tr w:rsidR="00A82ED2" w:rsidRPr="00046A8F" w14:paraId="35C116F8" w14:textId="77777777" w:rsidTr="00D301FF">
        <w:trPr>
          <w:trHeight w:val="404"/>
        </w:trPr>
        <w:tc>
          <w:tcPr>
            <w:tcW w:w="2335" w:type="dxa"/>
            <w:shd w:val="clear" w:color="auto" w:fill="D9D9D9" w:themeFill="background1" w:themeFillShade="D9"/>
            <w:vAlign w:val="center"/>
          </w:tcPr>
          <w:p w14:paraId="38FA5CB7" w14:textId="77777777" w:rsidR="00A82ED2" w:rsidRPr="00046A8F" w:rsidRDefault="00A82ED2" w:rsidP="00052B42">
            <w:pPr>
              <w:spacing w:line="276" w:lineRule="auto"/>
              <w:jc w:val="both"/>
              <w:rPr>
                <w:rFonts w:ascii="Arial" w:hAnsi="Arial" w:cs="Arial"/>
                <w:b/>
              </w:rPr>
            </w:pPr>
            <w:r w:rsidRPr="00046A8F">
              <w:rPr>
                <w:rFonts w:ascii="Arial" w:hAnsi="Arial" w:cs="Arial"/>
              </w:rPr>
              <w:t>Version Number</w:t>
            </w:r>
          </w:p>
        </w:tc>
        <w:tc>
          <w:tcPr>
            <w:tcW w:w="3780" w:type="dxa"/>
            <w:vAlign w:val="center"/>
          </w:tcPr>
          <w:p w14:paraId="77C3A62E" w14:textId="77777777" w:rsidR="00A82ED2" w:rsidRPr="00A82ED2" w:rsidRDefault="00A82ED2" w:rsidP="00A82ED2">
            <w:pPr>
              <w:spacing w:line="276" w:lineRule="auto"/>
              <w:jc w:val="both"/>
              <w:rPr>
                <w:rFonts w:ascii="Arial" w:hAnsi="Arial" w:cs="Arial"/>
                <w:b/>
              </w:rPr>
            </w:pPr>
            <w:r w:rsidRPr="00A82ED2">
              <w:rPr>
                <w:rFonts w:ascii="Arial" w:hAnsi="Arial" w:cs="Arial"/>
                <w:b/>
              </w:rPr>
              <w:t>Description</w:t>
            </w:r>
          </w:p>
        </w:tc>
        <w:tc>
          <w:tcPr>
            <w:tcW w:w="2728" w:type="dxa"/>
            <w:vAlign w:val="center"/>
          </w:tcPr>
          <w:p w14:paraId="27CB1A6A" w14:textId="77777777" w:rsidR="00A82ED2" w:rsidRPr="00A82ED2" w:rsidRDefault="00A82ED2" w:rsidP="00A82ED2">
            <w:pPr>
              <w:spacing w:line="276" w:lineRule="auto"/>
              <w:jc w:val="both"/>
              <w:rPr>
                <w:rFonts w:ascii="Arial" w:hAnsi="Arial" w:cs="Arial"/>
                <w:b/>
              </w:rPr>
            </w:pPr>
            <w:r w:rsidRPr="00046A8F">
              <w:rPr>
                <w:rFonts w:ascii="Arial" w:hAnsi="Arial" w:cs="Arial"/>
                <w:b/>
              </w:rPr>
              <w:t>Date</w:t>
            </w:r>
          </w:p>
        </w:tc>
      </w:tr>
      <w:tr w:rsidR="00A82ED2" w:rsidRPr="00046A8F" w14:paraId="784A793A" w14:textId="77777777" w:rsidTr="00D301FF">
        <w:trPr>
          <w:trHeight w:val="404"/>
        </w:trPr>
        <w:tc>
          <w:tcPr>
            <w:tcW w:w="2335" w:type="dxa"/>
            <w:shd w:val="clear" w:color="auto" w:fill="FFFFFF" w:themeFill="background1"/>
            <w:vAlign w:val="center"/>
          </w:tcPr>
          <w:p w14:paraId="4B9B065A" w14:textId="77777777" w:rsidR="00A82ED2" w:rsidRPr="00046A8F" w:rsidRDefault="00A82ED2" w:rsidP="00052B42">
            <w:pPr>
              <w:jc w:val="both"/>
              <w:rPr>
                <w:rFonts w:ascii="Arial" w:hAnsi="Arial" w:cs="Arial"/>
              </w:rPr>
            </w:pPr>
            <w:r>
              <w:rPr>
                <w:rFonts w:ascii="Arial" w:hAnsi="Arial" w:cs="Arial"/>
              </w:rPr>
              <w:t>Version 0.1</w:t>
            </w:r>
          </w:p>
        </w:tc>
        <w:tc>
          <w:tcPr>
            <w:tcW w:w="3780" w:type="dxa"/>
            <w:vAlign w:val="center"/>
          </w:tcPr>
          <w:p w14:paraId="154F97DE" w14:textId="77777777" w:rsidR="00A82ED2" w:rsidRPr="00046A8F" w:rsidRDefault="00A82ED2" w:rsidP="00052B42">
            <w:pPr>
              <w:jc w:val="both"/>
              <w:rPr>
                <w:rFonts w:ascii="Arial" w:hAnsi="Arial" w:cs="Arial"/>
              </w:rPr>
            </w:pPr>
            <w:r>
              <w:rPr>
                <w:rFonts w:ascii="Arial" w:hAnsi="Arial" w:cs="Arial"/>
              </w:rPr>
              <w:t xml:space="preserve">Policy </w:t>
            </w:r>
            <w:r w:rsidR="00932119">
              <w:rPr>
                <w:rFonts w:ascii="Arial" w:hAnsi="Arial" w:cs="Arial"/>
              </w:rPr>
              <w:t xml:space="preserve">on </w:t>
            </w:r>
            <w:r>
              <w:rPr>
                <w:rFonts w:ascii="Arial" w:hAnsi="Arial" w:cs="Arial"/>
              </w:rPr>
              <w:t>Resource Planning</w:t>
            </w:r>
          </w:p>
        </w:tc>
        <w:tc>
          <w:tcPr>
            <w:tcW w:w="2728" w:type="dxa"/>
            <w:vAlign w:val="center"/>
          </w:tcPr>
          <w:p w14:paraId="2981EC14" w14:textId="77777777" w:rsidR="00A82ED2" w:rsidRPr="00046A8F" w:rsidRDefault="00A82ED2" w:rsidP="00052B42">
            <w:pPr>
              <w:jc w:val="both"/>
              <w:rPr>
                <w:rFonts w:ascii="Arial" w:hAnsi="Arial" w:cs="Arial"/>
              </w:rPr>
            </w:pPr>
            <w:r>
              <w:rPr>
                <w:rFonts w:ascii="Arial" w:hAnsi="Arial" w:cs="Arial"/>
              </w:rPr>
              <w:t>13</w:t>
            </w:r>
            <w:r w:rsidRPr="00A82ED2">
              <w:rPr>
                <w:rFonts w:ascii="Arial" w:hAnsi="Arial" w:cs="Arial"/>
                <w:vertAlign w:val="superscript"/>
              </w:rPr>
              <w:t>th</w:t>
            </w:r>
            <w:r>
              <w:rPr>
                <w:rFonts w:ascii="Arial" w:hAnsi="Arial" w:cs="Arial"/>
              </w:rPr>
              <w:t xml:space="preserve"> Aug 2019</w:t>
            </w:r>
          </w:p>
        </w:tc>
      </w:tr>
      <w:tr w:rsidR="00A82ED2" w:rsidRPr="00046A8F" w14:paraId="4AE9C541" w14:textId="77777777" w:rsidTr="00D301FF">
        <w:trPr>
          <w:trHeight w:val="404"/>
        </w:trPr>
        <w:tc>
          <w:tcPr>
            <w:tcW w:w="2335" w:type="dxa"/>
            <w:shd w:val="clear" w:color="auto" w:fill="FFFFFF" w:themeFill="background1"/>
            <w:vAlign w:val="center"/>
          </w:tcPr>
          <w:p w14:paraId="5C19AE97" w14:textId="77777777" w:rsidR="00A82ED2" w:rsidRDefault="00A82ED2" w:rsidP="00052B42">
            <w:pPr>
              <w:jc w:val="both"/>
              <w:rPr>
                <w:rFonts w:ascii="Arial" w:hAnsi="Arial" w:cs="Arial"/>
              </w:rPr>
            </w:pPr>
            <w:r>
              <w:rPr>
                <w:rFonts w:ascii="Arial" w:hAnsi="Arial" w:cs="Arial"/>
              </w:rPr>
              <w:t>Version 0.2</w:t>
            </w:r>
          </w:p>
        </w:tc>
        <w:tc>
          <w:tcPr>
            <w:tcW w:w="3780" w:type="dxa"/>
            <w:vAlign w:val="center"/>
          </w:tcPr>
          <w:p w14:paraId="604BAEE5" w14:textId="77777777" w:rsidR="00A82ED2" w:rsidRDefault="00A82ED2" w:rsidP="00052B42">
            <w:pPr>
              <w:jc w:val="both"/>
              <w:rPr>
                <w:rFonts w:ascii="Arial" w:hAnsi="Arial" w:cs="Arial"/>
              </w:rPr>
            </w:pPr>
            <w:r>
              <w:rPr>
                <w:rFonts w:ascii="Arial" w:hAnsi="Arial" w:cs="Arial"/>
              </w:rPr>
              <w:t xml:space="preserve"> Renewal</w:t>
            </w:r>
          </w:p>
        </w:tc>
        <w:tc>
          <w:tcPr>
            <w:tcW w:w="2728" w:type="dxa"/>
            <w:vAlign w:val="center"/>
          </w:tcPr>
          <w:p w14:paraId="52817170" w14:textId="77777777" w:rsidR="00A82ED2" w:rsidRDefault="00A82ED2" w:rsidP="00052B42">
            <w:pPr>
              <w:jc w:val="both"/>
              <w:rPr>
                <w:rFonts w:ascii="Arial" w:hAnsi="Arial" w:cs="Arial"/>
              </w:rPr>
            </w:pPr>
          </w:p>
        </w:tc>
      </w:tr>
    </w:tbl>
    <w:bookmarkEnd w:id="2"/>
    <w:p w14:paraId="05413A37" w14:textId="77777777" w:rsidR="00044886" w:rsidRPr="00046A8F" w:rsidRDefault="00044886" w:rsidP="00052B42">
      <w:pPr>
        <w:pStyle w:val="Header"/>
        <w:spacing w:before="100" w:beforeAutospacing="1"/>
        <w:jc w:val="both"/>
        <w:rPr>
          <w:rFonts w:ascii="Arial" w:hAnsi="Arial" w:cs="Arial"/>
          <w:b/>
          <w:sz w:val="24"/>
        </w:rPr>
      </w:pPr>
      <w:r w:rsidRPr="00046A8F">
        <w:rPr>
          <w:rFonts w:ascii="Arial" w:hAnsi="Arial" w:cs="Arial"/>
          <w:b/>
          <w:sz w:val="24"/>
        </w:rPr>
        <w:t xml:space="preserve">        </w:t>
      </w:r>
    </w:p>
    <w:p w14:paraId="3262FD2A" w14:textId="77777777" w:rsidR="00044886" w:rsidRPr="00046A8F" w:rsidRDefault="00044886" w:rsidP="00052B42">
      <w:pPr>
        <w:tabs>
          <w:tab w:val="right" w:pos="9360"/>
        </w:tabs>
        <w:spacing w:before="100" w:beforeAutospacing="1" w:line="240" w:lineRule="auto"/>
        <w:jc w:val="both"/>
        <w:rPr>
          <w:rFonts w:ascii="Arial" w:hAnsi="Arial" w:cs="Arial"/>
          <w:b/>
          <w:sz w:val="24"/>
        </w:rPr>
      </w:pPr>
      <w:bookmarkStart w:id="3" w:name="_Hlk516565084"/>
      <w:r w:rsidRPr="00046A8F">
        <w:rPr>
          <w:rFonts w:ascii="Arial" w:hAnsi="Arial" w:cs="Arial"/>
          <w:b/>
        </w:rPr>
        <w:t xml:space="preserve">Effective Date                       :          </w:t>
      </w:r>
      <w:r w:rsidR="00A82ED2">
        <w:rPr>
          <w:rFonts w:ascii="Arial" w:hAnsi="Arial" w:cs="Arial"/>
          <w:b/>
        </w:rPr>
        <w:t>XX</w:t>
      </w:r>
      <w:r w:rsidRPr="00046A8F">
        <w:rPr>
          <w:rFonts w:ascii="Arial" w:hAnsi="Arial" w:cs="Arial"/>
          <w:b/>
        </w:rPr>
        <w:t xml:space="preserve"> </w:t>
      </w:r>
      <w:r w:rsidR="00A82ED2">
        <w:rPr>
          <w:rFonts w:ascii="Arial" w:hAnsi="Arial" w:cs="Arial"/>
          <w:b/>
        </w:rPr>
        <w:t>/XX/XX</w:t>
      </w:r>
      <w:r w:rsidRPr="00046A8F">
        <w:rPr>
          <w:rFonts w:ascii="Arial" w:hAnsi="Arial" w:cs="Arial"/>
          <w:b/>
        </w:rPr>
        <w:tab/>
        <w:t xml:space="preserve"> </w:t>
      </w:r>
    </w:p>
    <w:p w14:paraId="1A96FC0B" w14:textId="77777777" w:rsidR="00044886" w:rsidRPr="00046A8F" w:rsidRDefault="00044886" w:rsidP="00052B42">
      <w:pPr>
        <w:spacing w:before="100" w:beforeAutospacing="1" w:line="240" w:lineRule="auto"/>
        <w:jc w:val="both"/>
        <w:rPr>
          <w:rFonts w:ascii="Arial" w:hAnsi="Arial"/>
          <w:b/>
        </w:rPr>
      </w:pPr>
      <w:r w:rsidRPr="00046A8F">
        <w:rPr>
          <w:rFonts w:ascii="Arial" w:hAnsi="Arial" w:cs="Arial"/>
          <w:b/>
        </w:rPr>
        <w:t>Next Review Date</w:t>
      </w:r>
      <w:r w:rsidRPr="00046A8F">
        <w:rPr>
          <w:rFonts w:ascii="Arial" w:hAnsi="Arial" w:cs="Arial"/>
          <w:b/>
        </w:rPr>
        <w:tab/>
        <w:t xml:space="preserve">            :          </w:t>
      </w:r>
      <w:r w:rsidR="00A82ED2">
        <w:rPr>
          <w:rFonts w:ascii="Arial" w:hAnsi="Arial" w:cs="Arial"/>
          <w:b/>
        </w:rPr>
        <w:t>XX/XX/XX</w:t>
      </w:r>
    </w:p>
    <w:p w14:paraId="2D4FE5EC" w14:textId="77777777" w:rsidR="00044886" w:rsidRPr="00046A8F" w:rsidRDefault="00044886" w:rsidP="00052B42">
      <w:pPr>
        <w:spacing w:before="100" w:beforeAutospacing="1" w:line="240" w:lineRule="auto"/>
        <w:jc w:val="both"/>
        <w:rPr>
          <w:rFonts w:ascii="Arial" w:hAnsi="Arial"/>
          <w:b/>
        </w:rPr>
      </w:pPr>
      <w:r w:rsidRPr="00046A8F">
        <w:rPr>
          <w:rFonts w:ascii="Arial" w:hAnsi="Arial"/>
          <w:b/>
        </w:rPr>
        <w:t>Policy Owner</w:t>
      </w:r>
      <w:r w:rsidRPr="00046A8F">
        <w:rPr>
          <w:rFonts w:ascii="Arial" w:hAnsi="Arial"/>
        </w:rPr>
        <w:tab/>
      </w:r>
      <w:r w:rsidRPr="00046A8F">
        <w:rPr>
          <w:rFonts w:ascii="Arial" w:hAnsi="Arial"/>
        </w:rPr>
        <w:tab/>
      </w:r>
      <w:r w:rsidRPr="00046A8F">
        <w:rPr>
          <w:rFonts w:ascii="Arial" w:hAnsi="Arial"/>
        </w:rPr>
        <w:tab/>
        <w:t xml:space="preserve">:  </w:t>
      </w:r>
      <w:r w:rsidRPr="00046A8F">
        <w:rPr>
          <w:rFonts w:ascii="Arial" w:hAnsi="Arial"/>
        </w:rPr>
        <w:tab/>
      </w:r>
      <w:r w:rsidR="00BE1B55" w:rsidRPr="00046A8F">
        <w:rPr>
          <w:rFonts w:ascii="Arial" w:hAnsi="Arial"/>
          <w:b/>
        </w:rPr>
        <w:t>Finance and Accounts Dept</w:t>
      </w:r>
    </w:p>
    <w:p w14:paraId="6D3463DA" w14:textId="77777777" w:rsidR="00044886" w:rsidRPr="00046A8F" w:rsidRDefault="00044886" w:rsidP="000A6C4B">
      <w:pPr>
        <w:spacing w:before="100" w:beforeAutospacing="1" w:line="240" w:lineRule="auto"/>
        <w:jc w:val="both"/>
        <w:rPr>
          <w:rFonts w:ascii="Arial" w:hAnsi="Arial"/>
          <w:b/>
        </w:rPr>
      </w:pPr>
      <w:r w:rsidRPr="00046A8F">
        <w:rPr>
          <w:rFonts w:ascii="Arial" w:hAnsi="Arial"/>
          <w:b/>
        </w:rPr>
        <w:t>Prepared By</w:t>
      </w:r>
      <w:r w:rsidRPr="00046A8F">
        <w:rPr>
          <w:rFonts w:ascii="Arial" w:hAnsi="Arial"/>
          <w:b/>
        </w:rPr>
        <w:tab/>
      </w:r>
      <w:r w:rsidRPr="00046A8F">
        <w:rPr>
          <w:rFonts w:ascii="Arial" w:hAnsi="Arial"/>
          <w:b/>
        </w:rPr>
        <w:tab/>
      </w:r>
      <w:r w:rsidRPr="00046A8F">
        <w:rPr>
          <w:rFonts w:ascii="Arial" w:hAnsi="Arial"/>
          <w:b/>
        </w:rPr>
        <w:tab/>
        <w:t xml:space="preserve">:  </w:t>
      </w:r>
      <w:r w:rsidRPr="00046A8F">
        <w:rPr>
          <w:rFonts w:ascii="Arial" w:hAnsi="Arial"/>
          <w:b/>
        </w:rPr>
        <w:tab/>
        <w:t>Risk Management Dept</w:t>
      </w:r>
    </w:p>
    <w:p w14:paraId="0DE7893A" w14:textId="77777777" w:rsidR="00692905" w:rsidRDefault="00692905" w:rsidP="000A6C4B">
      <w:pPr>
        <w:spacing w:line="240" w:lineRule="auto"/>
        <w:jc w:val="both"/>
        <w:rPr>
          <w:rFonts w:ascii="Arial" w:hAnsi="Arial"/>
          <w:b/>
        </w:rPr>
      </w:pPr>
    </w:p>
    <w:p w14:paraId="06882042" w14:textId="77777777" w:rsidR="00044886" w:rsidRPr="00046A8F" w:rsidRDefault="00044886" w:rsidP="000A6C4B">
      <w:pPr>
        <w:spacing w:line="240" w:lineRule="auto"/>
        <w:jc w:val="both"/>
        <w:rPr>
          <w:rFonts w:ascii="Times New Roman" w:hAnsi="Times New Roman" w:cs="Times New Roman"/>
          <w:sz w:val="24"/>
        </w:rPr>
      </w:pPr>
      <w:r w:rsidRPr="00046A8F">
        <w:rPr>
          <w:rFonts w:ascii="Arial" w:hAnsi="Arial"/>
          <w:b/>
        </w:rPr>
        <w:t>APPROVED BY</w:t>
      </w:r>
      <w:r w:rsidRPr="00046A8F">
        <w:rPr>
          <w:rFonts w:ascii="Arial" w:hAnsi="Arial"/>
          <w:b/>
        </w:rPr>
        <w:tab/>
      </w:r>
      <w:r w:rsidRPr="00046A8F">
        <w:rPr>
          <w:rFonts w:ascii="Arial" w:hAnsi="Arial"/>
          <w:b/>
        </w:rPr>
        <w:tab/>
        <w:t xml:space="preserve">:  </w:t>
      </w:r>
      <w:r w:rsidRPr="00046A8F">
        <w:rPr>
          <w:rFonts w:ascii="Arial" w:hAnsi="Arial"/>
          <w:b/>
        </w:rPr>
        <w:tab/>
        <w:t xml:space="preserve">MD &amp; CEO - MAFIL </w:t>
      </w:r>
      <w:bookmarkEnd w:id="1"/>
    </w:p>
    <w:bookmarkEnd w:id="3"/>
    <w:p w14:paraId="2F4A4192" w14:textId="77777777" w:rsidR="00044886" w:rsidRPr="00046A8F" w:rsidRDefault="00044886" w:rsidP="00052B42">
      <w:pPr>
        <w:jc w:val="both"/>
      </w:pPr>
    </w:p>
    <w:p w14:paraId="4EC23D5A" w14:textId="77777777" w:rsidR="00044886" w:rsidRPr="00046A8F" w:rsidRDefault="00044886" w:rsidP="00052B42">
      <w:pPr>
        <w:jc w:val="both"/>
      </w:pPr>
    </w:p>
    <w:p w14:paraId="0CB89232" w14:textId="77777777" w:rsidR="00044886" w:rsidRPr="00046A8F" w:rsidRDefault="00044886" w:rsidP="00052B42">
      <w:pPr>
        <w:jc w:val="both"/>
      </w:pPr>
    </w:p>
    <w:p w14:paraId="1FCD3C3E" w14:textId="77777777" w:rsidR="00044886" w:rsidRPr="00046A8F" w:rsidRDefault="00044886" w:rsidP="00052B42">
      <w:pPr>
        <w:jc w:val="both"/>
      </w:pPr>
    </w:p>
    <w:p w14:paraId="1F8CD338" w14:textId="77777777" w:rsidR="00044886" w:rsidRPr="00046A8F" w:rsidRDefault="00044886" w:rsidP="00052B42">
      <w:pPr>
        <w:jc w:val="both"/>
      </w:pPr>
    </w:p>
    <w:p w14:paraId="788FC3C3" w14:textId="77777777" w:rsidR="00044886" w:rsidRPr="00046A8F" w:rsidRDefault="00044886" w:rsidP="00052B42">
      <w:pPr>
        <w:jc w:val="both"/>
      </w:pPr>
    </w:p>
    <w:p w14:paraId="3E56076D" w14:textId="77777777" w:rsidR="00044886" w:rsidRPr="00046A8F" w:rsidRDefault="00044886" w:rsidP="00052B42">
      <w:pPr>
        <w:spacing w:after="0"/>
        <w:jc w:val="both"/>
        <w:rPr>
          <w:rFonts w:ascii="Arial" w:hAnsi="Arial" w:cs="Arial"/>
          <w:sz w:val="32"/>
        </w:rPr>
      </w:pPr>
      <w:r w:rsidRPr="00046A8F">
        <w:rPr>
          <w:rFonts w:ascii="Arial" w:hAnsi="Arial" w:cs="Arial"/>
          <w:sz w:val="32"/>
        </w:rPr>
        <w:lastRenderedPageBreak/>
        <w:t>Contents</w:t>
      </w:r>
    </w:p>
    <w:p w14:paraId="0567B68B" w14:textId="77777777" w:rsidR="00044886" w:rsidRPr="00046A8F" w:rsidRDefault="00044886" w:rsidP="00052B42">
      <w:pPr>
        <w:spacing w:after="0"/>
        <w:jc w:val="both"/>
        <w:rPr>
          <w:rFonts w:ascii="Arial" w:hAnsi="Arial" w:cs="Arial"/>
          <w:sz w:val="32"/>
        </w:rPr>
      </w:pPr>
    </w:p>
    <w:p w14:paraId="76D2B315" w14:textId="77777777" w:rsidR="00361913" w:rsidRPr="00361913" w:rsidRDefault="006237BD">
      <w:pPr>
        <w:pStyle w:val="TOC2"/>
        <w:rPr>
          <w:rFonts w:eastAsiaTheme="minorEastAsia" w:cstheme="minorBidi"/>
          <w:b w:val="0"/>
          <w:bCs/>
          <w:iCs w:val="0"/>
          <w:color w:val="auto"/>
          <w:lang w:val="en-US"/>
        </w:rPr>
      </w:pPr>
      <w:r w:rsidRPr="008C1A87">
        <w:rPr>
          <w:rFonts w:ascii="EYInterstate Light" w:hAnsi="EYInterstate Light"/>
          <w:b w:val="0"/>
          <w:color w:val="auto"/>
          <w:sz w:val="20"/>
          <w:szCs w:val="24"/>
        </w:rPr>
        <w:fldChar w:fldCharType="begin"/>
      </w:r>
      <w:r w:rsidR="00044886" w:rsidRPr="008C1A87">
        <w:rPr>
          <w:b w:val="0"/>
          <w:color w:val="auto"/>
        </w:rPr>
        <w:instrText xml:space="preserve"> TOC \o "1-2" \h \z \u </w:instrText>
      </w:r>
      <w:r w:rsidRPr="008C1A87">
        <w:rPr>
          <w:rFonts w:ascii="EYInterstate Light" w:hAnsi="EYInterstate Light"/>
          <w:b w:val="0"/>
          <w:color w:val="auto"/>
          <w:sz w:val="20"/>
          <w:szCs w:val="24"/>
        </w:rPr>
        <w:fldChar w:fldCharType="separate"/>
      </w:r>
      <w:hyperlink w:anchor="_Toc45205829" w:history="1">
        <w:r w:rsidR="00361913" w:rsidRPr="00361913">
          <w:rPr>
            <w:rStyle w:val="Hyperlink"/>
            <w:rFonts w:ascii="Arial" w:hAnsi="Arial"/>
            <w:b w:val="0"/>
            <w:bCs/>
            <w:color w:val="auto"/>
          </w:rPr>
          <w:t>1  Introduction</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_Toc45205829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3</w:t>
        </w:r>
        <w:r w:rsidR="00361913" w:rsidRPr="00361913">
          <w:rPr>
            <w:b w:val="0"/>
            <w:bCs/>
            <w:webHidden/>
            <w:color w:val="auto"/>
          </w:rPr>
          <w:fldChar w:fldCharType="end"/>
        </w:r>
      </w:hyperlink>
    </w:p>
    <w:p w14:paraId="0C2D1C80" w14:textId="77777777" w:rsidR="00361913" w:rsidRPr="00361913" w:rsidRDefault="001F07E4">
      <w:pPr>
        <w:pStyle w:val="TOC2"/>
        <w:rPr>
          <w:rFonts w:eastAsiaTheme="minorEastAsia" w:cstheme="minorBidi"/>
          <w:b w:val="0"/>
          <w:bCs/>
          <w:iCs w:val="0"/>
          <w:color w:val="auto"/>
          <w:lang w:val="en-US"/>
        </w:rPr>
      </w:pPr>
      <w:hyperlink w:anchor="_Toc45205830" w:history="1">
        <w:r w:rsidR="00361913" w:rsidRPr="00361913">
          <w:rPr>
            <w:rStyle w:val="Hyperlink"/>
            <w:rFonts w:ascii="Arial" w:hAnsi="Arial"/>
            <w:b w:val="0"/>
            <w:bCs/>
            <w:color w:val="auto"/>
          </w:rPr>
          <w:t>2  Scope of the policy</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_Toc45205830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3</w:t>
        </w:r>
        <w:r w:rsidR="00361913" w:rsidRPr="00361913">
          <w:rPr>
            <w:b w:val="0"/>
            <w:bCs/>
            <w:webHidden/>
            <w:color w:val="auto"/>
          </w:rPr>
          <w:fldChar w:fldCharType="end"/>
        </w:r>
      </w:hyperlink>
    </w:p>
    <w:p w14:paraId="39AB1552" w14:textId="77777777" w:rsidR="00361913" w:rsidRPr="00361913" w:rsidRDefault="001F07E4">
      <w:pPr>
        <w:pStyle w:val="TOC2"/>
        <w:rPr>
          <w:rFonts w:eastAsiaTheme="minorEastAsia" w:cstheme="minorBidi"/>
          <w:b w:val="0"/>
          <w:bCs/>
          <w:iCs w:val="0"/>
          <w:color w:val="auto"/>
          <w:lang w:val="en-US"/>
        </w:rPr>
      </w:pPr>
      <w:hyperlink w:anchor="_Toc45205831" w:history="1">
        <w:r w:rsidR="00361913" w:rsidRPr="00361913">
          <w:rPr>
            <w:rStyle w:val="Hyperlink"/>
            <w:rFonts w:ascii="Arial" w:hAnsi="Arial"/>
            <w:b w:val="0"/>
            <w:bCs/>
            <w:color w:val="auto"/>
          </w:rPr>
          <w:t>3</w:t>
        </w:r>
        <w:r w:rsidR="00361913" w:rsidRPr="00361913">
          <w:rPr>
            <w:rFonts w:eastAsiaTheme="minorEastAsia" w:cstheme="minorBidi"/>
            <w:b w:val="0"/>
            <w:bCs/>
            <w:iCs w:val="0"/>
            <w:color w:val="auto"/>
            <w:lang w:val="en-US"/>
          </w:rPr>
          <w:t xml:space="preserve">   </w:t>
        </w:r>
        <w:r w:rsidR="00361913" w:rsidRPr="00361913">
          <w:rPr>
            <w:rStyle w:val="Hyperlink"/>
            <w:rFonts w:ascii="Arial" w:hAnsi="Arial"/>
            <w:b w:val="0"/>
            <w:bCs/>
            <w:color w:val="auto"/>
          </w:rPr>
          <w:t>Long term resources:</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_Toc45205831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3</w:t>
        </w:r>
        <w:r w:rsidR="00361913" w:rsidRPr="00361913">
          <w:rPr>
            <w:b w:val="0"/>
            <w:bCs/>
            <w:webHidden/>
            <w:color w:val="auto"/>
          </w:rPr>
          <w:fldChar w:fldCharType="end"/>
        </w:r>
      </w:hyperlink>
    </w:p>
    <w:p w14:paraId="735DB4D1" w14:textId="77777777" w:rsidR="00361913" w:rsidRPr="00361913" w:rsidRDefault="001F07E4">
      <w:pPr>
        <w:pStyle w:val="TOC2"/>
        <w:rPr>
          <w:rFonts w:eastAsiaTheme="minorEastAsia" w:cstheme="minorBidi"/>
          <w:b w:val="0"/>
          <w:bCs/>
          <w:iCs w:val="0"/>
          <w:color w:val="auto"/>
          <w:lang w:val="en-US"/>
        </w:rPr>
      </w:pPr>
      <w:hyperlink w:anchor="_Toc45205832" w:history="1">
        <w:r w:rsidR="00361913" w:rsidRPr="00361913">
          <w:rPr>
            <w:rStyle w:val="Hyperlink"/>
            <w:rFonts w:ascii="Arial" w:hAnsi="Arial"/>
            <w:b w:val="0"/>
            <w:bCs/>
            <w:color w:val="auto"/>
          </w:rPr>
          <w:t>4  Short term resources</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_Toc45205832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6</w:t>
        </w:r>
        <w:r w:rsidR="00361913" w:rsidRPr="00361913">
          <w:rPr>
            <w:b w:val="0"/>
            <w:bCs/>
            <w:webHidden/>
            <w:color w:val="auto"/>
          </w:rPr>
          <w:fldChar w:fldCharType="end"/>
        </w:r>
      </w:hyperlink>
    </w:p>
    <w:p w14:paraId="6CEEA172" w14:textId="77777777" w:rsidR="00361913" w:rsidRPr="00361913" w:rsidRDefault="001F07E4">
      <w:pPr>
        <w:pStyle w:val="TOC2"/>
        <w:rPr>
          <w:rFonts w:eastAsiaTheme="minorEastAsia" w:cstheme="minorBidi"/>
          <w:b w:val="0"/>
          <w:bCs/>
          <w:iCs w:val="0"/>
          <w:color w:val="auto"/>
          <w:lang w:val="en-US"/>
        </w:rPr>
      </w:pPr>
      <w:hyperlink w:anchor="_Toc45205833" w:history="1">
        <w:r w:rsidR="00361913" w:rsidRPr="00361913">
          <w:rPr>
            <w:rStyle w:val="Hyperlink"/>
            <w:rFonts w:ascii="Arial" w:hAnsi="Arial"/>
            <w:b w:val="0"/>
            <w:bCs/>
            <w:color w:val="auto"/>
          </w:rPr>
          <w:t>5  Mix of resources</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_Toc45205833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7</w:t>
        </w:r>
        <w:r w:rsidR="00361913" w:rsidRPr="00361913">
          <w:rPr>
            <w:b w:val="0"/>
            <w:bCs/>
            <w:webHidden/>
            <w:color w:val="auto"/>
          </w:rPr>
          <w:fldChar w:fldCharType="end"/>
        </w:r>
      </w:hyperlink>
    </w:p>
    <w:p w14:paraId="19B4856F" w14:textId="77777777" w:rsidR="00361913" w:rsidRPr="00361913" w:rsidRDefault="001F07E4">
      <w:pPr>
        <w:pStyle w:val="TOC2"/>
        <w:rPr>
          <w:rFonts w:eastAsiaTheme="minorEastAsia" w:cstheme="minorBidi"/>
          <w:b w:val="0"/>
          <w:bCs/>
          <w:iCs w:val="0"/>
          <w:color w:val="auto"/>
          <w:lang w:val="en-US"/>
        </w:rPr>
      </w:pPr>
      <w:hyperlink w:anchor="_Toc45205834" w:history="1">
        <w:r w:rsidR="00361913" w:rsidRPr="00361913">
          <w:rPr>
            <w:rStyle w:val="Hyperlink"/>
            <w:rFonts w:ascii="Arial" w:hAnsi="Arial"/>
            <w:b w:val="0"/>
            <w:bCs/>
            <w:color w:val="auto"/>
          </w:rPr>
          <w:t>6 Validity of the policy</w:t>
        </w:r>
        <w:r w:rsidR="00361913" w:rsidRPr="00361913">
          <w:rPr>
            <w:b w:val="0"/>
            <w:bCs/>
            <w:webHidden/>
            <w:color w:val="auto"/>
          </w:rPr>
          <w:tab/>
        </w:r>
        <w:r w:rsidR="00361913" w:rsidRPr="00361913">
          <w:rPr>
            <w:b w:val="0"/>
            <w:bCs/>
            <w:webHidden/>
            <w:color w:val="auto"/>
          </w:rPr>
          <w:fldChar w:fldCharType="begin"/>
        </w:r>
        <w:r w:rsidR="00361913" w:rsidRPr="00361913">
          <w:rPr>
            <w:b w:val="0"/>
            <w:bCs/>
            <w:webHidden/>
            <w:color w:val="auto"/>
          </w:rPr>
          <w:instrText xml:space="preserve"> PAGEREF _Toc45205834 \h </w:instrText>
        </w:r>
        <w:r w:rsidR="00361913" w:rsidRPr="00361913">
          <w:rPr>
            <w:b w:val="0"/>
            <w:bCs/>
            <w:webHidden/>
            <w:color w:val="auto"/>
          </w:rPr>
        </w:r>
        <w:r w:rsidR="00361913" w:rsidRPr="00361913">
          <w:rPr>
            <w:b w:val="0"/>
            <w:bCs/>
            <w:webHidden/>
            <w:color w:val="auto"/>
          </w:rPr>
          <w:fldChar w:fldCharType="separate"/>
        </w:r>
        <w:r w:rsidR="00094FD9">
          <w:rPr>
            <w:b w:val="0"/>
            <w:bCs/>
            <w:webHidden/>
            <w:color w:val="auto"/>
          </w:rPr>
          <w:t>7</w:t>
        </w:r>
        <w:r w:rsidR="00361913" w:rsidRPr="00361913">
          <w:rPr>
            <w:b w:val="0"/>
            <w:bCs/>
            <w:webHidden/>
            <w:color w:val="auto"/>
          </w:rPr>
          <w:fldChar w:fldCharType="end"/>
        </w:r>
      </w:hyperlink>
    </w:p>
    <w:p w14:paraId="3D6F9FE8" w14:textId="77777777" w:rsidR="00044886" w:rsidRPr="008C1A87" w:rsidRDefault="006237BD" w:rsidP="00052B42">
      <w:pPr>
        <w:spacing w:after="0"/>
        <w:jc w:val="both"/>
        <w:rPr>
          <w:rFonts w:ascii="Arial" w:hAnsi="Arial" w:cs="Arial"/>
        </w:rPr>
      </w:pPr>
      <w:r w:rsidRPr="008C1A87">
        <w:rPr>
          <w:rFonts w:ascii="Arial" w:hAnsi="Arial" w:cs="Arial"/>
        </w:rPr>
        <w:fldChar w:fldCharType="end"/>
      </w:r>
      <w:r w:rsidR="00044886" w:rsidRPr="008C1A87">
        <w:rPr>
          <w:rFonts w:ascii="Arial" w:hAnsi="Arial" w:cs="Arial"/>
        </w:rPr>
        <w:br w:type="page"/>
      </w:r>
    </w:p>
    <w:p w14:paraId="7E56640A" w14:textId="77777777" w:rsidR="00F63FBC" w:rsidRPr="00553C64" w:rsidRDefault="00044886" w:rsidP="00EE71F7">
      <w:pPr>
        <w:pStyle w:val="Heading2"/>
        <w:numPr>
          <w:ilvl w:val="0"/>
          <w:numId w:val="20"/>
        </w:numPr>
        <w:spacing w:before="0" w:line="240" w:lineRule="auto"/>
        <w:rPr>
          <w:rFonts w:ascii="Arial" w:hAnsi="Arial" w:cs="Arial"/>
          <w:color w:val="000000" w:themeColor="text1"/>
          <w:sz w:val="24"/>
          <w:szCs w:val="24"/>
        </w:rPr>
      </w:pPr>
      <w:bookmarkStart w:id="4" w:name="_Toc45205829"/>
      <w:r w:rsidRPr="00553C64">
        <w:rPr>
          <w:rFonts w:ascii="Arial" w:hAnsi="Arial" w:cs="Arial"/>
          <w:color w:val="000000" w:themeColor="text1"/>
          <w:sz w:val="24"/>
          <w:szCs w:val="24"/>
        </w:rPr>
        <w:lastRenderedPageBreak/>
        <w:t>Introduction</w:t>
      </w:r>
      <w:bookmarkEnd w:id="4"/>
      <w:r w:rsidRPr="00553C64">
        <w:rPr>
          <w:rFonts w:ascii="Arial" w:hAnsi="Arial" w:cs="Arial"/>
          <w:color w:val="000000" w:themeColor="text1"/>
          <w:sz w:val="24"/>
          <w:szCs w:val="24"/>
        </w:rPr>
        <w:t xml:space="preserve"> </w:t>
      </w:r>
    </w:p>
    <w:p w14:paraId="5348CEE4" w14:textId="77777777" w:rsidR="00EE71F7" w:rsidRPr="00EE71F7" w:rsidRDefault="00EE71F7" w:rsidP="00EE71F7">
      <w:pPr>
        <w:spacing w:line="240" w:lineRule="auto"/>
      </w:pPr>
    </w:p>
    <w:p w14:paraId="2B35D307" w14:textId="77777777" w:rsidR="00BE1B55" w:rsidRPr="00046A8F" w:rsidRDefault="00266414" w:rsidP="00EE71F7">
      <w:pPr>
        <w:spacing w:line="240" w:lineRule="auto"/>
        <w:ind w:left="360"/>
        <w:jc w:val="both"/>
        <w:rPr>
          <w:rFonts w:ascii="Arial" w:eastAsia="Times New Roman" w:hAnsi="Arial" w:cs="Arial"/>
          <w:sz w:val="24"/>
          <w:szCs w:val="24"/>
        </w:rPr>
      </w:pPr>
      <w:r w:rsidRPr="00046A8F">
        <w:rPr>
          <w:rFonts w:ascii="Arial" w:eastAsia="Times New Roman" w:hAnsi="Arial" w:cs="Arial"/>
          <w:sz w:val="24"/>
          <w:szCs w:val="24"/>
        </w:rPr>
        <w:t xml:space="preserve">As tenure of our gold loan portfolio is shorter and our borrowings have relatively longer tenure, we have a very positive Asset Liability gap.  </w:t>
      </w:r>
      <w:r w:rsidRPr="00046A8F">
        <w:rPr>
          <w:rFonts w:ascii="Arial" w:eastAsia="Times New Roman" w:hAnsi="Arial" w:cs="Arial"/>
          <w:sz w:val="24"/>
          <w:szCs w:val="24"/>
          <w:lang w:val="en-GB"/>
        </w:rPr>
        <w:t xml:space="preserve">As </w:t>
      </w:r>
      <w:r w:rsidR="00754724" w:rsidRPr="00046A8F">
        <w:rPr>
          <w:rFonts w:ascii="Arial" w:eastAsia="Calibri" w:hAnsi="Arial" w:cs="Arial"/>
          <w:sz w:val="24"/>
          <w:szCs w:val="24"/>
        </w:rPr>
        <w:t xml:space="preserve">MAFIL </w:t>
      </w:r>
      <w:r w:rsidR="004215B3" w:rsidRPr="00046A8F">
        <w:rPr>
          <w:rFonts w:ascii="Arial" w:eastAsia="Calibri" w:hAnsi="Arial" w:cs="Arial"/>
          <w:sz w:val="24"/>
          <w:szCs w:val="24"/>
        </w:rPr>
        <w:t>has diversified</w:t>
      </w:r>
      <w:r w:rsidR="00754724" w:rsidRPr="00046A8F">
        <w:rPr>
          <w:rFonts w:ascii="Arial" w:eastAsia="Calibri" w:hAnsi="Arial" w:cs="Arial"/>
          <w:sz w:val="24"/>
          <w:szCs w:val="24"/>
        </w:rPr>
        <w:t xml:space="preserve"> into other sectors </w:t>
      </w:r>
      <w:r w:rsidR="00887537" w:rsidRPr="00046A8F">
        <w:rPr>
          <w:rFonts w:ascii="Arial" w:eastAsia="Calibri" w:hAnsi="Arial" w:cs="Arial"/>
          <w:sz w:val="24"/>
          <w:szCs w:val="24"/>
        </w:rPr>
        <w:t xml:space="preserve">with loan products having </w:t>
      </w:r>
      <w:r w:rsidR="00754724" w:rsidRPr="00046A8F">
        <w:rPr>
          <w:rFonts w:ascii="Arial" w:eastAsia="Calibri" w:hAnsi="Arial" w:cs="Arial"/>
          <w:sz w:val="24"/>
          <w:szCs w:val="24"/>
        </w:rPr>
        <w:t>longer maturity</w:t>
      </w:r>
      <w:r w:rsidRPr="00046A8F">
        <w:rPr>
          <w:rFonts w:ascii="Arial" w:eastAsia="Calibri" w:hAnsi="Arial" w:cs="Arial"/>
          <w:sz w:val="24"/>
          <w:szCs w:val="24"/>
        </w:rPr>
        <w:t xml:space="preserve">, </w:t>
      </w:r>
      <w:r w:rsidRPr="00046A8F">
        <w:rPr>
          <w:rFonts w:ascii="Arial" w:eastAsia="Times New Roman" w:hAnsi="Arial" w:cs="Arial"/>
          <w:sz w:val="24"/>
          <w:szCs w:val="24"/>
          <w:lang w:val="en-GB"/>
        </w:rPr>
        <w:t>this advantage can be gradually diminished</w:t>
      </w:r>
      <w:r w:rsidR="00754724" w:rsidRPr="00046A8F">
        <w:rPr>
          <w:rFonts w:ascii="Arial" w:eastAsia="Calibri" w:hAnsi="Arial" w:cs="Arial"/>
          <w:sz w:val="24"/>
          <w:szCs w:val="24"/>
        </w:rPr>
        <w:t xml:space="preserve">. </w:t>
      </w:r>
      <w:r w:rsidR="002F5B95" w:rsidRPr="00046A8F">
        <w:rPr>
          <w:rFonts w:ascii="Arial" w:eastAsia="Times New Roman" w:hAnsi="Arial" w:cs="Arial"/>
          <w:sz w:val="24"/>
          <w:szCs w:val="24"/>
        </w:rPr>
        <w:t xml:space="preserve">The </w:t>
      </w:r>
      <w:r w:rsidR="00887537" w:rsidRPr="00046A8F">
        <w:rPr>
          <w:rFonts w:ascii="Arial" w:eastAsia="Times New Roman" w:hAnsi="Arial" w:cs="Arial"/>
          <w:sz w:val="24"/>
          <w:szCs w:val="24"/>
        </w:rPr>
        <w:t xml:space="preserve">revised </w:t>
      </w:r>
      <w:r w:rsidR="002F5B95" w:rsidRPr="00046A8F">
        <w:rPr>
          <w:rFonts w:ascii="Arial" w:eastAsia="Times New Roman" w:hAnsi="Arial" w:cs="Arial"/>
          <w:sz w:val="24"/>
          <w:szCs w:val="24"/>
        </w:rPr>
        <w:t xml:space="preserve">policy aims to </w:t>
      </w:r>
      <w:r w:rsidR="00514C14" w:rsidRPr="00046A8F">
        <w:rPr>
          <w:rFonts w:ascii="Arial" w:eastAsia="Times New Roman" w:hAnsi="Arial" w:cs="Arial"/>
          <w:sz w:val="24"/>
          <w:szCs w:val="24"/>
        </w:rPr>
        <w:t>document MAFIL’s</w:t>
      </w:r>
      <w:r w:rsidR="00887537" w:rsidRPr="00046A8F">
        <w:rPr>
          <w:rFonts w:ascii="Arial" w:eastAsia="Times New Roman" w:hAnsi="Arial" w:cs="Arial"/>
          <w:sz w:val="24"/>
          <w:szCs w:val="24"/>
        </w:rPr>
        <w:t xml:space="preserve"> resource raising plans, mix of funds</w:t>
      </w:r>
      <w:r w:rsidR="00190AAC">
        <w:rPr>
          <w:rFonts w:ascii="Arial" w:eastAsia="Times New Roman" w:hAnsi="Arial" w:cs="Arial"/>
          <w:sz w:val="24"/>
          <w:szCs w:val="24"/>
        </w:rPr>
        <w:t xml:space="preserve"> etc.</w:t>
      </w:r>
    </w:p>
    <w:p w14:paraId="4AED70FC" w14:textId="77777777" w:rsidR="00134CF2" w:rsidRPr="00553C64" w:rsidRDefault="00806976" w:rsidP="00E34E8C">
      <w:pPr>
        <w:pStyle w:val="Heading2"/>
        <w:numPr>
          <w:ilvl w:val="0"/>
          <w:numId w:val="20"/>
        </w:numPr>
        <w:rPr>
          <w:rFonts w:ascii="Arial" w:hAnsi="Arial" w:cs="Arial"/>
          <w:color w:val="000000" w:themeColor="text1"/>
          <w:sz w:val="24"/>
          <w:szCs w:val="24"/>
        </w:rPr>
      </w:pPr>
      <w:r w:rsidRPr="00553C64">
        <w:rPr>
          <w:rFonts w:ascii="Arial" w:hAnsi="Arial" w:cs="Arial"/>
          <w:color w:val="000000" w:themeColor="text1"/>
          <w:sz w:val="24"/>
          <w:szCs w:val="24"/>
        </w:rPr>
        <w:t xml:space="preserve"> </w:t>
      </w:r>
      <w:bookmarkStart w:id="5" w:name="_Toc45205830"/>
      <w:r w:rsidR="004729A2" w:rsidRPr="00553C64">
        <w:rPr>
          <w:rFonts w:ascii="Arial" w:hAnsi="Arial" w:cs="Arial"/>
          <w:color w:val="000000" w:themeColor="text1"/>
          <w:sz w:val="24"/>
          <w:szCs w:val="24"/>
        </w:rPr>
        <w:t>Scope of the policy</w:t>
      </w:r>
      <w:bookmarkEnd w:id="5"/>
    </w:p>
    <w:p w14:paraId="12144B4B" w14:textId="77777777" w:rsidR="00B03938" w:rsidRPr="00046A8F" w:rsidRDefault="009C59D1" w:rsidP="00E34E8C">
      <w:pPr>
        <w:spacing w:line="276" w:lineRule="auto"/>
        <w:ind w:left="540"/>
        <w:jc w:val="both"/>
        <w:rPr>
          <w:rFonts w:ascii="Arial" w:eastAsia="Calibri" w:hAnsi="Arial" w:cs="Arial"/>
          <w:sz w:val="24"/>
          <w:szCs w:val="24"/>
        </w:rPr>
      </w:pPr>
      <w:r w:rsidRPr="00046A8F">
        <w:rPr>
          <w:rFonts w:ascii="Arial" w:eastAsia="Calibri" w:hAnsi="Arial" w:cs="Arial"/>
          <w:sz w:val="24"/>
          <w:szCs w:val="24"/>
        </w:rPr>
        <w:t>G</w:t>
      </w:r>
      <w:r w:rsidR="00B03938" w:rsidRPr="00046A8F">
        <w:rPr>
          <w:rFonts w:ascii="Arial" w:eastAsia="Calibri" w:hAnsi="Arial" w:cs="Arial"/>
          <w:sz w:val="24"/>
          <w:szCs w:val="24"/>
        </w:rPr>
        <w:t xml:space="preserve">uidance on: </w:t>
      </w:r>
    </w:p>
    <w:p w14:paraId="2F992442" w14:textId="77777777" w:rsidR="00B03938" w:rsidRPr="00046A8F" w:rsidRDefault="00BE1B55" w:rsidP="00E34E8C">
      <w:pPr>
        <w:pStyle w:val="ListParagraph"/>
        <w:numPr>
          <w:ilvl w:val="0"/>
          <w:numId w:val="26"/>
        </w:numPr>
        <w:spacing w:after="0"/>
        <w:ind w:left="720" w:hanging="210"/>
        <w:jc w:val="both"/>
        <w:rPr>
          <w:rFonts w:ascii="Arial" w:eastAsia="Calibri" w:hAnsi="Arial" w:cs="Arial"/>
          <w:sz w:val="24"/>
          <w:szCs w:val="24"/>
        </w:rPr>
      </w:pPr>
      <w:r w:rsidRPr="00046A8F">
        <w:rPr>
          <w:rFonts w:ascii="Arial" w:eastAsia="Calibri" w:hAnsi="Arial" w:cs="Arial"/>
          <w:sz w:val="24"/>
          <w:szCs w:val="24"/>
        </w:rPr>
        <w:t xml:space="preserve">Long term funds in the mix of </w:t>
      </w:r>
      <w:r w:rsidR="00B03938" w:rsidRPr="00046A8F">
        <w:rPr>
          <w:rFonts w:ascii="Arial" w:eastAsia="Calibri" w:hAnsi="Arial" w:cs="Arial"/>
          <w:sz w:val="24"/>
          <w:szCs w:val="24"/>
        </w:rPr>
        <w:t>resources.</w:t>
      </w:r>
    </w:p>
    <w:p w14:paraId="2110D1AB" w14:textId="34978A49" w:rsidR="00B03938" w:rsidRDefault="00B03938" w:rsidP="00E34E8C">
      <w:pPr>
        <w:pStyle w:val="ListParagraph"/>
        <w:numPr>
          <w:ilvl w:val="0"/>
          <w:numId w:val="26"/>
        </w:numPr>
        <w:spacing w:after="0"/>
        <w:ind w:left="720" w:hanging="210"/>
        <w:jc w:val="both"/>
        <w:rPr>
          <w:rFonts w:ascii="Arial" w:eastAsia="Calibri" w:hAnsi="Arial" w:cs="Arial"/>
          <w:sz w:val="24"/>
          <w:szCs w:val="24"/>
        </w:rPr>
      </w:pPr>
      <w:r w:rsidRPr="00046A8F">
        <w:rPr>
          <w:rFonts w:ascii="Arial" w:eastAsia="Calibri" w:hAnsi="Arial" w:cs="Arial"/>
          <w:sz w:val="24"/>
          <w:szCs w:val="24"/>
        </w:rPr>
        <w:t>Mix of loan term funds viz Bank loans, ECBs, Loans from Financial Institutions, Non – Convertible debentures, subordinated debt etc.</w:t>
      </w:r>
    </w:p>
    <w:p w14:paraId="34A0E7A4" w14:textId="021ABB8B" w:rsidR="00B37D8B" w:rsidRPr="00046A8F" w:rsidRDefault="00B37D8B" w:rsidP="00E34E8C">
      <w:pPr>
        <w:pStyle w:val="ListParagraph"/>
        <w:numPr>
          <w:ilvl w:val="0"/>
          <w:numId w:val="26"/>
        </w:numPr>
        <w:spacing w:after="0"/>
        <w:ind w:left="720" w:hanging="210"/>
        <w:jc w:val="both"/>
        <w:rPr>
          <w:rFonts w:ascii="Arial" w:eastAsia="Calibri" w:hAnsi="Arial" w:cs="Arial"/>
          <w:sz w:val="24"/>
          <w:szCs w:val="24"/>
        </w:rPr>
      </w:pPr>
      <w:r>
        <w:rPr>
          <w:rFonts w:ascii="Arial" w:eastAsia="Calibri" w:hAnsi="Arial" w:cs="Arial"/>
          <w:sz w:val="24"/>
          <w:szCs w:val="24"/>
        </w:rPr>
        <w:t>On</w:t>
      </w:r>
      <w:r w:rsidR="000B2C15">
        <w:rPr>
          <w:rFonts w:ascii="Arial" w:eastAsia="Calibri" w:hAnsi="Arial" w:cs="Arial"/>
          <w:sz w:val="24"/>
          <w:szCs w:val="24"/>
        </w:rPr>
        <w:t>-</w:t>
      </w:r>
      <w:r>
        <w:rPr>
          <w:rFonts w:ascii="Arial" w:eastAsia="Calibri" w:hAnsi="Arial" w:cs="Arial"/>
          <w:sz w:val="24"/>
          <w:szCs w:val="24"/>
        </w:rPr>
        <w:t>lending for PSL and Securitisation</w:t>
      </w:r>
      <w:r w:rsidR="000B2C15">
        <w:rPr>
          <w:rFonts w:ascii="Arial" w:eastAsia="Calibri" w:hAnsi="Arial" w:cs="Arial"/>
          <w:sz w:val="24"/>
          <w:szCs w:val="24"/>
        </w:rPr>
        <w:t>/DA</w:t>
      </w:r>
    </w:p>
    <w:p w14:paraId="1D4850DC" w14:textId="77777777" w:rsidR="00B03938" w:rsidRPr="00046A8F" w:rsidRDefault="00BE1B55" w:rsidP="00E34E8C">
      <w:pPr>
        <w:pStyle w:val="ListParagraph"/>
        <w:numPr>
          <w:ilvl w:val="0"/>
          <w:numId w:val="26"/>
        </w:numPr>
        <w:spacing w:after="0"/>
        <w:ind w:left="720" w:hanging="210"/>
        <w:jc w:val="both"/>
        <w:rPr>
          <w:rFonts w:ascii="Arial" w:eastAsia="Calibri" w:hAnsi="Arial" w:cs="Arial"/>
          <w:sz w:val="24"/>
          <w:szCs w:val="24"/>
        </w:rPr>
      </w:pPr>
      <w:r w:rsidRPr="00046A8F">
        <w:rPr>
          <w:rFonts w:ascii="Arial" w:eastAsia="Calibri" w:hAnsi="Arial" w:cs="Arial"/>
          <w:sz w:val="24"/>
          <w:szCs w:val="24"/>
        </w:rPr>
        <w:t>S</w:t>
      </w:r>
      <w:r w:rsidR="00B03938" w:rsidRPr="00046A8F">
        <w:rPr>
          <w:rFonts w:ascii="Arial" w:eastAsia="Calibri" w:hAnsi="Arial" w:cs="Arial"/>
          <w:sz w:val="24"/>
          <w:szCs w:val="24"/>
        </w:rPr>
        <w:t>hort term funds in the mix of resources</w:t>
      </w:r>
      <w:r w:rsidRPr="00046A8F">
        <w:rPr>
          <w:rFonts w:ascii="Arial" w:eastAsia="Calibri" w:hAnsi="Arial" w:cs="Arial"/>
          <w:sz w:val="24"/>
          <w:szCs w:val="24"/>
        </w:rPr>
        <w:t xml:space="preserve">. </w:t>
      </w:r>
    </w:p>
    <w:p w14:paraId="7A52C330" w14:textId="77777777" w:rsidR="004729A2" w:rsidRPr="00553C64" w:rsidRDefault="004729A2" w:rsidP="00E34E8C">
      <w:pPr>
        <w:pStyle w:val="Heading2"/>
        <w:numPr>
          <w:ilvl w:val="0"/>
          <w:numId w:val="20"/>
        </w:numPr>
        <w:ind w:left="450"/>
        <w:rPr>
          <w:rFonts w:ascii="Arial" w:hAnsi="Arial" w:cs="Arial"/>
          <w:color w:val="000000" w:themeColor="text1"/>
          <w:sz w:val="24"/>
          <w:szCs w:val="24"/>
        </w:rPr>
      </w:pPr>
      <w:bookmarkStart w:id="6" w:name="_Toc45205831"/>
      <w:r w:rsidRPr="00553C64">
        <w:rPr>
          <w:rFonts w:ascii="Arial" w:hAnsi="Arial" w:cs="Arial"/>
          <w:color w:val="000000" w:themeColor="text1"/>
          <w:sz w:val="24"/>
          <w:szCs w:val="24"/>
        </w:rPr>
        <w:t>Long term resources:</w:t>
      </w:r>
      <w:bookmarkEnd w:id="6"/>
    </w:p>
    <w:p w14:paraId="5416FC47" w14:textId="77777777" w:rsidR="00151ECA" w:rsidRPr="00151ECA" w:rsidRDefault="00151ECA" w:rsidP="00F63FBC">
      <w:pPr>
        <w:ind w:left="90"/>
      </w:pPr>
    </w:p>
    <w:p w14:paraId="10D902BE" w14:textId="77777777" w:rsidR="00921F1C" w:rsidRPr="00046A8F" w:rsidRDefault="00921F1C" w:rsidP="00F63FBC">
      <w:pPr>
        <w:spacing w:line="276" w:lineRule="auto"/>
        <w:ind w:left="90"/>
        <w:rPr>
          <w:rFonts w:ascii="Arial" w:hAnsi="Arial" w:cs="Arial"/>
          <w:b/>
          <w:sz w:val="24"/>
          <w:szCs w:val="24"/>
        </w:rPr>
      </w:pPr>
      <w:r w:rsidRPr="00046A8F">
        <w:rPr>
          <w:rFonts w:ascii="Arial" w:eastAsia="Calibri" w:hAnsi="Arial" w:cs="Arial"/>
          <w:b/>
          <w:iCs/>
          <w:sz w:val="24"/>
          <w:szCs w:val="24"/>
        </w:rPr>
        <w:t>3.1   Retained Earnings.</w:t>
      </w:r>
    </w:p>
    <w:p w14:paraId="704AE96B" w14:textId="77777777" w:rsidR="00921F1C" w:rsidRDefault="00921F1C" w:rsidP="00F63FBC">
      <w:pPr>
        <w:spacing w:line="276" w:lineRule="auto"/>
        <w:ind w:left="90"/>
        <w:jc w:val="both"/>
        <w:rPr>
          <w:rFonts w:ascii="Arial" w:eastAsia="Calibri" w:hAnsi="Arial" w:cs="Arial"/>
          <w:sz w:val="24"/>
          <w:szCs w:val="24"/>
        </w:rPr>
      </w:pPr>
      <w:r w:rsidRPr="00046A8F">
        <w:rPr>
          <w:rFonts w:ascii="Arial" w:eastAsia="Calibri" w:hAnsi="Arial" w:cs="Arial"/>
          <w:sz w:val="24"/>
          <w:szCs w:val="24"/>
        </w:rPr>
        <w:t xml:space="preserve">MAFIL has been ploughing back its profits after declaring dividends to maintain capital adequacy ratio above the regulatory minimum ratio and to maintain low leverages.  MAFIL shall continue the practice in future. </w:t>
      </w:r>
    </w:p>
    <w:p w14:paraId="04E9A922" w14:textId="77777777" w:rsidR="00F63FBC" w:rsidRPr="00046A8F" w:rsidRDefault="00F63FBC" w:rsidP="00F63FBC">
      <w:pPr>
        <w:spacing w:line="276" w:lineRule="auto"/>
        <w:ind w:left="90"/>
        <w:jc w:val="both"/>
        <w:rPr>
          <w:rFonts w:ascii="Arial" w:hAnsi="Arial" w:cs="Arial"/>
          <w:sz w:val="24"/>
          <w:szCs w:val="24"/>
        </w:rPr>
      </w:pPr>
    </w:p>
    <w:p w14:paraId="130A2930" w14:textId="77777777" w:rsidR="00266414" w:rsidRPr="00046A8F" w:rsidRDefault="00514C14" w:rsidP="00F63FBC">
      <w:pPr>
        <w:spacing w:line="276" w:lineRule="auto"/>
        <w:ind w:left="90"/>
        <w:rPr>
          <w:rFonts w:ascii="Arial" w:eastAsia="Calibri" w:hAnsi="Arial" w:cs="Arial"/>
          <w:b/>
          <w:iCs/>
          <w:sz w:val="24"/>
          <w:szCs w:val="24"/>
        </w:rPr>
      </w:pPr>
      <w:r w:rsidRPr="00046A8F">
        <w:rPr>
          <w:rFonts w:ascii="Arial" w:eastAsia="Calibri" w:hAnsi="Arial" w:cs="Arial"/>
          <w:b/>
          <w:sz w:val="24"/>
          <w:szCs w:val="24"/>
        </w:rPr>
        <w:t>3.2 Term</w:t>
      </w:r>
      <w:r w:rsidR="00266414" w:rsidRPr="00046A8F">
        <w:rPr>
          <w:rFonts w:ascii="Arial" w:eastAsia="Calibri" w:hAnsi="Arial" w:cs="Arial"/>
          <w:b/>
          <w:sz w:val="24"/>
          <w:szCs w:val="24"/>
        </w:rPr>
        <w:t xml:space="preserve"> loans from </w:t>
      </w:r>
      <w:r w:rsidR="004729A2" w:rsidRPr="00046A8F">
        <w:rPr>
          <w:rFonts w:ascii="Arial" w:eastAsia="Calibri" w:hAnsi="Arial" w:cs="Arial"/>
          <w:b/>
          <w:sz w:val="24"/>
          <w:szCs w:val="24"/>
        </w:rPr>
        <w:t>banks and other Financial Institutions.</w:t>
      </w:r>
    </w:p>
    <w:p w14:paraId="07DAD3E2" w14:textId="7710CC32" w:rsidR="00151ECA" w:rsidRDefault="00266414" w:rsidP="00F63FBC">
      <w:pPr>
        <w:spacing w:line="276" w:lineRule="auto"/>
        <w:ind w:left="90"/>
        <w:jc w:val="both"/>
        <w:rPr>
          <w:rFonts w:ascii="Arial" w:eastAsia="Calibri" w:hAnsi="Arial" w:cs="Arial"/>
          <w:sz w:val="24"/>
          <w:szCs w:val="24"/>
        </w:rPr>
      </w:pPr>
      <w:r w:rsidRPr="00046A8F">
        <w:rPr>
          <w:rFonts w:ascii="Arial" w:eastAsia="Calibri" w:hAnsi="Arial" w:cs="Arial"/>
          <w:sz w:val="24"/>
          <w:szCs w:val="24"/>
        </w:rPr>
        <w:t xml:space="preserve">MAFIL has been raising loans </w:t>
      </w:r>
      <w:r w:rsidR="004729A2" w:rsidRPr="00046A8F">
        <w:rPr>
          <w:rFonts w:ascii="Arial" w:eastAsia="Calibri" w:hAnsi="Arial" w:cs="Arial"/>
          <w:sz w:val="24"/>
          <w:szCs w:val="24"/>
        </w:rPr>
        <w:t xml:space="preserve">from </w:t>
      </w:r>
      <w:r w:rsidRPr="00046A8F">
        <w:rPr>
          <w:rFonts w:ascii="Arial" w:eastAsia="Calibri" w:hAnsi="Arial" w:cs="Arial"/>
          <w:sz w:val="24"/>
          <w:szCs w:val="24"/>
        </w:rPr>
        <w:t xml:space="preserve">public and private sector </w:t>
      </w:r>
      <w:r w:rsidR="004729A2" w:rsidRPr="00046A8F">
        <w:rPr>
          <w:rFonts w:ascii="Arial" w:eastAsia="Calibri" w:hAnsi="Arial" w:cs="Arial"/>
          <w:sz w:val="24"/>
          <w:szCs w:val="24"/>
        </w:rPr>
        <w:t>banks and financial institutions</w:t>
      </w:r>
      <w:r w:rsidR="00690D28" w:rsidRPr="00046A8F">
        <w:rPr>
          <w:rFonts w:ascii="Arial" w:eastAsia="Calibri" w:hAnsi="Arial" w:cs="Arial"/>
          <w:sz w:val="24"/>
          <w:szCs w:val="24"/>
        </w:rPr>
        <w:t xml:space="preserve"> </w:t>
      </w:r>
      <w:r w:rsidR="00E34E8C" w:rsidRPr="00046A8F">
        <w:rPr>
          <w:rFonts w:ascii="Arial" w:eastAsia="Calibri" w:hAnsi="Arial" w:cs="Arial"/>
          <w:sz w:val="24"/>
          <w:szCs w:val="24"/>
        </w:rPr>
        <w:t>like NABARD</w:t>
      </w:r>
      <w:r w:rsidR="004729A2" w:rsidRPr="00046A8F">
        <w:rPr>
          <w:rFonts w:ascii="Arial" w:eastAsia="Calibri" w:hAnsi="Arial" w:cs="Arial"/>
          <w:sz w:val="24"/>
          <w:szCs w:val="24"/>
        </w:rPr>
        <w:t xml:space="preserve">, </w:t>
      </w:r>
      <w:r w:rsidR="00690D28" w:rsidRPr="00046A8F">
        <w:rPr>
          <w:rFonts w:ascii="Arial" w:eastAsia="Calibri" w:hAnsi="Arial" w:cs="Arial"/>
          <w:sz w:val="24"/>
          <w:szCs w:val="24"/>
        </w:rPr>
        <w:t>IFC</w:t>
      </w:r>
      <w:r w:rsidR="003E51C7" w:rsidRPr="00474E78">
        <w:rPr>
          <w:rFonts w:ascii="Arial" w:eastAsia="Calibri" w:hAnsi="Arial" w:cs="Arial"/>
          <w:color w:val="FF0000"/>
          <w:sz w:val="24"/>
          <w:szCs w:val="24"/>
        </w:rPr>
        <w:t xml:space="preserve"> </w:t>
      </w:r>
      <w:r w:rsidR="00690D28" w:rsidRPr="00046A8F">
        <w:rPr>
          <w:rFonts w:ascii="Arial" w:eastAsia="Calibri" w:hAnsi="Arial" w:cs="Arial"/>
          <w:sz w:val="24"/>
          <w:szCs w:val="24"/>
        </w:rPr>
        <w:t xml:space="preserve">etc.   </w:t>
      </w:r>
      <w:r w:rsidR="009C19A2">
        <w:rPr>
          <w:rFonts w:ascii="Arial" w:eastAsia="Calibri" w:hAnsi="Arial" w:cs="Arial"/>
          <w:sz w:val="24"/>
          <w:szCs w:val="24"/>
        </w:rPr>
        <w:t xml:space="preserve">MAFIL has been treating funds raised </w:t>
      </w:r>
      <w:r w:rsidR="009C19A2" w:rsidRPr="00B80EA4">
        <w:rPr>
          <w:rFonts w:ascii="Arial" w:eastAsia="Calibri" w:hAnsi="Arial" w:cs="Arial"/>
          <w:sz w:val="24"/>
          <w:szCs w:val="24"/>
        </w:rPr>
        <w:t xml:space="preserve">with maturity profile of more than 12 months as funds from long term resources. </w:t>
      </w:r>
      <w:r w:rsidR="00690D28" w:rsidRPr="00B80EA4">
        <w:rPr>
          <w:rFonts w:ascii="Arial" w:eastAsia="Calibri" w:hAnsi="Arial" w:cs="Arial"/>
          <w:sz w:val="24"/>
          <w:szCs w:val="24"/>
        </w:rPr>
        <w:t xml:space="preserve">MAFIL shall continue to avail term loans from these institutions with maturities ranging from </w:t>
      </w:r>
      <w:r w:rsidR="009C19A2" w:rsidRPr="00B80EA4">
        <w:rPr>
          <w:rFonts w:ascii="Arial" w:eastAsia="Calibri" w:hAnsi="Arial" w:cs="Arial"/>
          <w:sz w:val="24"/>
          <w:szCs w:val="24"/>
        </w:rPr>
        <w:t>more than 1 year</w:t>
      </w:r>
      <w:r w:rsidR="00690D28" w:rsidRPr="00B80EA4">
        <w:rPr>
          <w:rFonts w:ascii="Arial" w:eastAsia="Calibri" w:hAnsi="Arial" w:cs="Arial"/>
          <w:sz w:val="24"/>
          <w:szCs w:val="24"/>
        </w:rPr>
        <w:t xml:space="preserve"> </w:t>
      </w:r>
      <w:r w:rsidR="00690D28" w:rsidRPr="000B2C15">
        <w:rPr>
          <w:rFonts w:ascii="Arial" w:eastAsia="Calibri" w:hAnsi="Arial" w:cs="Arial"/>
          <w:sz w:val="24"/>
          <w:szCs w:val="24"/>
        </w:rPr>
        <w:t xml:space="preserve">to 5 </w:t>
      </w:r>
      <w:r w:rsidR="00D169A7" w:rsidRPr="0079746C">
        <w:rPr>
          <w:rFonts w:ascii="Arial" w:eastAsia="Calibri" w:hAnsi="Arial" w:cs="Arial"/>
          <w:sz w:val="24"/>
          <w:szCs w:val="24"/>
        </w:rPr>
        <w:t xml:space="preserve">-7 </w:t>
      </w:r>
      <w:r w:rsidR="00690D28" w:rsidRPr="000B2C15">
        <w:rPr>
          <w:rFonts w:ascii="Arial" w:eastAsia="Calibri" w:hAnsi="Arial" w:cs="Arial"/>
          <w:sz w:val="24"/>
          <w:szCs w:val="24"/>
        </w:rPr>
        <w:t>years</w:t>
      </w:r>
      <w:r w:rsidR="00690D28" w:rsidRPr="00B80EA4">
        <w:rPr>
          <w:rFonts w:ascii="Arial" w:eastAsia="Calibri" w:hAnsi="Arial" w:cs="Arial"/>
          <w:sz w:val="24"/>
          <w:szCs w:val="24"/>
        </w:rPr>
        <w:t>.</w:t>
      </w:r>
      <w:r w:rsidR="00690D28" w:rsidRPr="00046A8F">
        <w:rPr>
          <w:rFonts w:ascii="Arial" w:eastAsia="Calibri" w:hAnsi="Arial" w:cs="Arial"/>
          <w:sz w:val="24"/>
          <w:szCs w:val="24"/>
        </w:rPr>
        <w:t xml:space="preserve">  </w:t>
      </w:r>
    </w:p>
    <w:p w14:paraId="70FF367A" w14:textId="77777777" w:rsidR="00F63FBC" w:rsidRDefault="00F63FBC" w:rsidP="00F63FBC">
      <w:pPr>
        <w:spacing w:line="276" w:lineRule="auto"/>
        <w:ind w:left="90"/>
        <w:jc w:val="both"/>
        <w:rPr>
          <w:rFonts w:ascii="Arial" w:eastAsia="Calibri" w:hAnsi="Arial" w:cs="Arial"/>
          <w:sz w:val="24"/>
          <w:szCs w:val="24"/>
        </w:rPr>
      </w:pPr>
    </w:p>
    <w:p w14:paraId="09D9DB10" w14:textId="77777777" w:rsidR="00F63FBC" w:rsidRDefault="00F63FBC" w:rsidP="00F63FBC">
      <w:pPr>
        <w:spacing w:line="276" w:lineRule="auto"/>
        <w:ind w:left="90"/>
        <w:jc w:val="both"/>
        <w:rPr>
          <w:rFonts w:ascii="Arial" w:eastAsia="Calibri" w:hAnsi="Arial" w:cs="Arial"/>
          <w:sz w:val="24"/>
          <w:szCs w:val="24"/>
        </w:rPr>
      </w:pPr>
    </w:p>
    <w:p w14:paraId="05B5A84B" w14:textId="77777777" w:rsidR="00F63FBC" w:rsidRDefault="00F63FBC" w:rsidP="00F63FBC">
      <w:pPr>
        <w:spacing w:line="276" w:lineRule="auto"/>
        <w:ind w:left="90"/>
        <w:jc w:val="both"/>
        <w:rPr>
          <w:rFonts w:ascii="Arial" w:eastAsia="Calibri" w:hAnsi="Arial" w:cs="Arial"/>
          <w:sz w:val="24"/>
          <w:szCs w:val="24"/>
        </w:rPr>
      </w:pPr>
    </w:p>
    <w:p w14:paraId="2505F08E" w14:textId="77777777" w:rsidR="00F63FBC" w:rsidRDefault="00F63FBC" w:rsidP="00F63FBC">
      <w:pPr>
        <w:spacing w:line="276" w:lineRule="auto"/>
        <w:ind w:left="90"/>
        <w:jc w:val="both"/>
        <w:rPr>
          <w:rFonts w:ascii="Arial" w:eastAsia="Calibri" w:hAnsi="Arial" w:cs="Arial"/>
          <w:sz w:val="24"/>
          <w:szCs w:val="24"/>
        </w:rPr>
      </w:pPr>
    </w:p>
    <w:p w14:paraId="6FEA50F9" w14:textId="77777777" w:rsidR="00F63FBC" w:rsidRDefault="00F63FBC" w:rsidP="00F63FBC">
      <w:pPr>
        <w:spacing w:line="276" w:lineRule="auto"/>
        <w:ind w:left="90"/>
        <w:jc w:val="both"/>
        <w:rPr>
          <w:rFonts w:ascii="Arial" w:eastAsia="Calibri" w:hAnsi="Arial" w:cs="Arial"/>
          <w:sz w:val="24"/>
          <w:szCs w:val="24"/>
        </w:rPr>
      </w:pPr>
    </w:p>
    <w:p w14:paraId="0B31550D" w14:textId="77777777" w:rsidR="00F63FBC" w:rsidRDefault="00F63FBC" w:rsidP="00F63FBC">
      <w:pPr>
        <w:spacing w:line="276" w:lineRule="auto"/>
        <w:ind w:left="90"/>
        <w:jc w:val="both"/>
        <w:rPr>
          <w:rFonts w:ascii="Arial" w:eastAsia="Calibri" w:hAnsi="Arial" w:cs="Arial"/>
          <w:sz w:val="24"/>
          <w:szCs w:val="24"/>
        </w:rPr>
      </w:pPr>
    </w:p>
    <w:p w14:paraId="7E98791C" w14:textId="77777777" w:rsidR="00F63FBC" w:rsidRDefault="00F63FBC" w:rsidP="00F63FBC">
      <w:pPr>
        <w:spacing w:line="276" w:lineRule="auto"/>
        <w:ind w:left="90"/>
        <w:jc w:val="both"/>
        <w:rPr>
          <w:rFonts w:ascii="Arial" w:eastAsia="Calibri" w:hAnsi="Arial" w:cs="Arial"/>
          <w:sz w:val="24"/>
          <w:szCs w:val="24"/>
        </w:rPr>
      </w:pPr>
    </w:p>
    <w:p w14:paraId="3A6B1983" w14:textId="77777777" w:rsidR="00F63FBC" w:rsidRPr="00F63FBC" w:rsidRDefault="00F63FBC" w:rsidP="00F63FBC">
      <w:pPr>
        <w:spacing w:line="276" w:lineRule="auto"/>
        <w:ind w:left="90"/>
        <w:jc w:val="both"/>
        <w:rPr>
          <w:rFonts w:ascii="Arial" w:eastAsia="Calibri" w:hAnsi="Arial" w:cs="Arial"/>
          <w:sz w:val="24"/>
          <w:szCs w:val="24"/>
        </w:rPr>
      </w:pPr>
    </w:p>
    <w:p w14:paraId="39BE979F" w14:textId="77777777" w:rsidR="003C7639" w:rsidRPr="00046A8F" w:rsidRDefault="00921F1C" w:rsidP="00F63FBC">
      <w:pPr>
        <w:spacing w:line="276" w:lineRule="auto"/>
        <w:ind w:left="90" w:hanging="90"/>
        <w:rPr>
          <w:rFonts w:ascii="Arial" w:eastAsia="Calibri" w:hAnsi="Arial" w:cs="Arial"/>
          <w:b/>
          <w:iCs/>
          <w:sz w:val="24"/>
          <w:szCs w:val="24"/>
        </w:rPr>
      </w:pPr>
      <w:r w:rsidRPr="00046A8F">
        <w:rPr>
          <w:rFonts w:ascii="Arial" w:eastAsia="Calibri" w:hAnsi="Arial" w:cs="Arial"/>
          <w:b/>
          <w:iCs/>
          <w:sz w:val="24"/>
          <w:szCs w:val="24"/>
        </w:rPr>
        <w:t xml:space="preserve">  </w:t>
      </w:r>
      <w:r w:rsidR="00514C14" w:rsidRPr="00046A8F">
        <w:rPr>
          <w:rFonts w:ascii="Arial" w:eastAsia="Calibri" w:hAnsi="Arial" w:cs="Arial"/>
          <w:b/>
          <w:iCs/>
          <w:sz w:val="24"/>
          <w:szCs w:val="24"/>
        </w:rPr>
        <w:t>3.3 External</w:t>
      </w:r>
      <w:r w:rsidRPr="00046A8F">
        <w:rPr>
          <w:rFonts w:ascii="Arial" w:eastAsia="Calibri" w:hAnsi="Arial" w:cs="Arial"/>
          <w:b/>
          <w:iCs/>
          <w:sz w:val="24"/>
          <w:szCs w:val="24"/>
        </w:rPr>
        <w:t xml:space="preserve"> Commercial Borrowings (ECB) and Foreign Currency Denominated loans</w:t>
      </w:r>
      <w:r w:rsidR="00F63FBC">
        <w:rPr>
          <w:rFonts w:ascii="Arial" w:eastAsia="Calibri" w:hAnsi="Arial" w:cs="Arial"/>
          <w:b/>
          <w:iCs/>
          <w:sz w:val="24"/>
          <w:szCs w:val="24"/>
        </w:rPr>
        <w:t>.</w:t>
      </w:r>
    </w:p>
    <w:p w14:paraId="5FCB9137" w14:textId="786681F9" w:rsidR="003C7639" w:rsidRPr="00046A8F" w:rsidRDefault="003C7639" w:rsidP="00F63FBC">
      <w:pPr>
        <w:spacing w:line="276" w:lineRule="auto"/>
        <w:ind w:left="90"/>
        <w:jc w:val="both"/>
        <w:rPr>
          <w:rFonts w:ascii="Arial" w:hAnsi="Arial" w:cs="Arial"/>
          <w:sz w:val="24"/>
          <w:szCs w:val="24"/>
        </w:rPr>
      </w:pPr>
      <w:r w:rsidRPr="00046A8F">
        <w:rPr>
          <w:rFonts w:ascii="Arial" w:hAnsi="Arial" w:cs="Arial"/>
          <w:sz w:val="24"/>
          <w:szCs w:val="24"/>
        </w:rPr>
        <w:t xml:space="preserve">Under the </w:t>
      </w:r>
      <w:r w:rsidRPr="00B80EA4">
        <w:rPr>
          <w:rFonts w:ascii="Arial" w:hAnsi="Arial" w:cs="Arial"/>
          <w:sz w:val="24"/>
          <w:szCs w:val="24"/>
        </w:rPr>
        <w:t>External Commercial Framework</w:t>
      </w:r>
      <w:r w:rsidR="00E34E8C" w:rsidRPr="00B80EA4">
        <w:rPr>
          <w:rFonts w:ascii="Arial" w:hAnsi="Arial" w:cs="Arial"/>
          <w:sz w:val="24"/>
          <w:szCs w:val="24"/>
        </w:rPr>
        <w:t>, eligible</w:t>
      </w:r>
      <w:r w:rsidRPr="00B80EA4">
        <w:rPr>
          <w:rFonts w:ascii="Arial" w:hAnsi="Arial" w:cs="Arial"/>
          <w:sz w:val="24"/>
          <w:szCs w:val="24"/>
        </w:rPr>
        <w:t xml:space="preserve"> borrowers (includes NBFCs also</w:t>
      </w:r>
      <w:r w:rsidR="00761F76" w:rsidRPr="00B80EA4">
        <w:rPr>
          <w:rFonts w:ascii="Arial" w:hAnsi="Arial" w:cs="Arial"/>
          <w:sz w:val="24"/>
          <w:szCs w:val="24"/>
        </w:rPr>
        <w:t>) can</w:t>
      </w:r>
      <w:r w:rsidRPr="00B80EA4">
        <w:rPr>
          <w:rFonts w:ascii="Arial" w:hAnsi="Arial" w:cs="Arial"/>
          <w:sz w:val="24"/>
          <w:szCs w:val="24"/>
        </w:rPr>
        <w:t xml:space="preserve"> raise ECB up to USD 750 million or equivalent per financial year under auto</w:t>
      </w:r>
      <w:r w:rsidR="00BE1B55" w:rsidRPr="00B80EA4">
        <w:rPr>
          <w:rFonts w:ascii="Arial" w:hAnsi="Arial" w:cs="Arial"/>
          <w:sz w:val="24"/>
          <w:szCs w:val="24"/>
        </w:rPr>
        <w:t>matic</w:t>
      </w:r>
      <w:r w:rsidRPr="00B80EA4">
        <w:rPr>
          <w:rFonts w:ascii="Arial" w:hAnsi="Arial" w:cs="Arial"/>
          <w:sz w:val="24"/>
          <w:szCs w:val="24"/>
        </w:rPr>
        <w:t xml:space="preserve"> route, subject to certain conditions. The facility denominated in foreign currencies can be in the form of loans, bonds and debentures.</w:t>
      </w:r>
      <w:r w:rsidR="002F746D" w:rsidRPr="00B80EA4">
        <w:rPr>
          <w:rFonts w:ascii="Arial" w:hAnsi="Arial" w:cs="Arial"/>
          <w:sz w:val="24"/>
          <w:szCs w:val="24"/>
        </w:rPr>
        <w:t xml:space="preserve"> </w:t>
      </w:r>
      <w:r w:rsidRPr="00B80EA4">
        <w:rPr>
          <w:rFonts w:ascii="Arial" w:hAnsi="Arial" w:cs="Arial"/>
          <w:sz w:val="24"/>
          <w:szCs w:val="24"/>
        </w:rPr>
        <w:t>As per the regulations, m</w:t>
      </w:r>
      <w:r w:rsidR="0026647B" w:rsidRPr="00B80EA4">
        <w:rPr>
          <w:rFonts w:ascii="Arial" w:hAnsi="Arial" w:cs="Arial"/>
          <w:sz w:val="24"/>
          <w:szCs w:val="24"/>
        </w:rPr>
        <w:t xml:space="preserve">inimum average maturity period (MAMP) </w:t>
      </w:r>
      <w:r w:rsidRPr="00B80EA4">
        <w:rPr>
          <w:rFonts w:ascii="Arial" w:hAnsi="Arial" w:cs="Arial"/>
          <w:sz w:val="24"/>
          <w:szCs w:val="24"/>
        </w:rPr>
        <w:t>shall</w:t>
      </w:r>
      <w:r w:rsidR="0026647B" w:rsidRPr="00B80EA4">
        <w:rPr>
          <w:rFonts w:ascii="Arial" w:hAnsi="Arial" w:cs="Arial"/>
          <w:sz w:val="24"/>
          <w:szCs w:val="24"/>
        </w:rPr>
        <w:t xml:space="preserve"> be 3 years</w:t>
      </w:r>
      <w:r w:rsidRPr="00B80EA4">
        <w:rPr>
          <w:rFonts w:ascii="Arial" w:hAnsi="Arial" w:cs="Arial"/>
          <w:sz w:val="24"/>
          <w:szCs w:val="24"/>
        </w:rPr>
        <w:t xml:space="preserve"> and </w:t>
      </w:r>
      <w:r w:rsidR="008F25C1" w:rsidRPr="00B80EA4">
        <w:rPr>
          <w:rFonts w:ascii="Arial" w:hAnsi="Arial" w:cs="Arial"/>
          <w:sz w:val="24"/>
          <w:szCs w:val="24"/>
        </w:rPr>
        <w:t xml:space="preserve">all – in cost shall not exceed Benchmark </w:t>
      </w:r>
      <w:r w:rsidR="0007085E" w:rsidRPr="00B80EA4">
        <w:rPr>
          <w:rFonts w:ascii="Arial" w:hAnsi="Arial" w:cs="Arial"/>
          <w:sz w:val="24"/>
          <w:szCs w:val="24"/>
        </w:rPr>
        <w:t>rate (</w:t>
      </w:r>
      <w:r w:rsidR="008F25C1" w:rsidRPr="00B80EA4">
        <w:rPr>
          <w:rFonts w:ascii="Arial" w:hAnsi="Arial" w:cs="Arial"/>
          <w:sz w:val="24"/>
          <w:szCs w:val="24"/>
        </w:rPr>
        <w:t>ie</w:t>
      </w:r>
      <w:r w:rsidR="0007085E">
        <w:rPr>
          <w:rFonts w:ascii="Arial" w:hAnsi="Arial" w:cs="Arial"/>
          <w:sz w:val="24"/>
          <w:szCs w:val="24"/>
        </w:rPr>
        <w:t>;</w:t>
      </w:r>
      <w:r w:rsidR="008F25C1" w:rsidRPr="00B80EA4">
        <w:rPr>
          <w:rFonts w:ascii="Arial" w:hAnsi="Arial" w:cs="Arial"/>
          <w:sz w:val="24"/>
          <w:szCs w:val="24"/>
        </w:rPr>
        <w:t xml:space="preserve"> 6 month </w:t>
      </w:r>
      <w:r w:rsidR="008E382D">
        <w:rPr>
          <w:rFonts w:ascii="Arial" w:hAnsi="Arial" w:cs="Arial"/>
          <w:sz w:val="24"/>
          <w:szCs w:val="24"/>
        </w:rPr>
        <w:t>SOFR</w:t>
      </w:r>
      <w:r w:rsidR="00CA1C1C">
        <w:rPr>
          <w:rFonts w:ascii="Arial" w:hAnsi="Arial" w:cs="Arial"/>
          <w:sz w:val="24"/>
          <w:szCs w:val="24"/>
        </w:rPr>
        <w:t xml:space="preserve">, </w:t>
      </w:r>
      <w:r w:rsidR="008F25C1" w:rsidRPr="00B80EA4">
        <w:rPr>
          <w:rFonts w:ascii="Arial" w:hAnsi="Arial" w:cs="Arial"/>
          <w:sz w:val="24"/>
          <w:szCs w:val="24"/>
        </w:rPr>
        <w:t xml:space="preserve"> 6 month EURIBOR</w:t>
      </w:r>
      <w:r w:rsidR="00CA1C1C">
        <w:rPr>
          <w:rFonts w:ascii="Arial" w:hAnsi="Arial" w:cs="Arial"/>
          <w:sz w:val="24"/>
          <w:szCs w:val="24"/>
        </w:rPr>
        <w:t xml:space="preserve"> </w:t>
      </w:r>
      <w:r w:rsidR="00CA1C1C" w:rsidRPr="0079746C">
        <w:rPr>
          <w:rFonts w:ascii="Arial" w:hAnsi="Arial" w:cs="Arial"/>
          <w:sz w:val="24"/>
          <w:szCs w:val="24"/>
        </w:rPr>
        <w:t>etc</w:t>
      </w:r>
      <w:r w:rsidR="008F25C1" w:rsidRPr="00537FD0">
        <w:rPr>
          <w:rFonts w:ascii="Arial" w:hAnsi="Arial" w:cs="Arial"/>
          <w:sz w:val="24"/>
          <w:szCs w:val="24"/>
        </w:rPr>
        <w:t xml:space="preserve"> </w:t>
      </w:r>
      <w:r w:rsidR="008F25C1" w:rsidRPr="00B80EA4">
        <w:rPr>
          <w:rFonts w:ascii="Arial" w:hAnsi="Arial" w:cs="Arial"/>
          <w:sz w:val="24"/>
          <w:szCs w:val="24"/>
        </w:rPr>
        <w:t>based on the currency) plus 50</w:t>
      </w:r>
      <w:r w:rsidR="00830A10">
        <w:rPr>
          <w:rFonts w:ascii="Arial" w:hAnsi="Arial" w:cs="Arial"/>
          <w:sz w:val="24"/>
          <w:szCs w:val="24"/>
        </w:rPr>
        <w:t>0</w:t>
      </w:r>
      <w:r w:rsidR="008F25C1" w:rsidRPr="00B80EA4">
        <w:rPr>
          <w:rFonts w:ascii="Arial" w:hAnsi="Arial" w:cs="Arial"/>
          <w:sz w:val="24"/>
          <w:szCs w:val="24"/>
        </w:rPr>
        <w:t xml:space="preserve"> bps spread.</w:t>
      </w:r>
      <w:r w:rsidR="008F25C1" w:rsidRPr="00046A8F">
        <w:rPr>
          <w:rFonts w:ascii="Arial" w:hAnsi="Arial" w:cs="Arial"/>
          <w:sz w:val="24"/>
          <w:szCs w:val="24"/>
        </w:rPr>
        <w:t xml:space="preserve"> </w:t>
      </w:r>
    </w:p>
    <w:p w14:paraId="1F8EDEBF" w14:textId="77777777" w:rsidR="008F25C1" w:rsidRPr="00046A8F" w:rsidRDefault="008F25C1" w:rsidP="00F63FBC">
      <w:pPr>
        <w:spacing w:line="276" w:lineRule="auto"/>
        <w:ind w:left="90"/>
        <w:jc w:val="both"/>
        <w:rPr>
          <w:rFonts w:ascii="Arial" w:hAnsi="Arial" w:cs="Arial"/>
          <w:sz w:val="24"/>
          <w:szCs w:val="24"/>
        </w:rPr>
      </w:pPr>
      <w:r w:rsidRPr="00046A8F">
        <w:rPr>
          <w:rFonts w:ascii="Arial" w:hAnsi="Arial" w:cs="Arial"/>
          <w:sz w:val="24"/>
          <w:szCs w:val="24"/>
        </w:rPr>
        <w:t>In order to diversify sources of funds and to reduce cost of funds, MAFIL may avail of ECBs, subject to the following conditions.</w:t>
      </w:r>
    </w:p>
    <w:p w14:paraId="47041137" w14:textId="5B58877C" w:rsidR="008F25C1" w:rsidRPr="00046A8F" w:rsidRDefault="008F25C1" w:rsidP="00F63FBC">
      <w:pPr>
        <w:pStyle w:val="ListParagraph"/>
        <w:numPr>
          <w:ilvl w:val="0"/>
          <w:numId w:val="28"/>
        </w:numPr>
        <w:ind w:left="450"/>
        <w:jc w:val="both"/>
        <w:rPr>
          <w:rFonts w:ascii="Arial" w:hAnsi="Arial" w:cs="Arial"/>
          <w:sz w:val="24"/>
          <w:szCs w:val="24"/>
        </w:rPr>
      </w:pPr>
      <w:r w:rsidRPr="00046A8F">
        <w:rPr>
          <w:rFonts w:ascii="Arial" w:hAnsi="Arial" w:cs="Arial"/>
          <w:sz w:val="24"/>
          <w:szCs w:val="24"/>
        </w:rPr>
        <w:t>The facility shall be  hedged</w:t>
      </w:r>
      <w:r w:rsidR="00B37D8B">
        <w:rPr>
          <w:rFonts w:ascii="Arial" w:hAnsi="Arial" w:cs="Arial"/>
          <w:sz w:val="24"/>
          <w:szCs w:val="24"/>
        </w:rPr>
        <w:t xml:space="preserve"> as per the regulatory guidelines prescribed by RBI</w:t>
      </w:r>
    </w:p>
    <w:p w14:paraId="02153DEE" w14:textId="77777777" w:rsidR="008F25C1" w:rsidRPr="00046A8F" w:rsidRDefault="008F25C1" w:rsidP="00F63FBC">
      <w:pPr>
        <w:pStyle w:val="ListParagraph"/>
        <w:numPr>
          <w:ilvl w:val="0"/>
          <w:numId w:val="28"/>
        </w:numPr>
        <w:ind w:left="450"/>
        <w:jc w:val="both"/>
        <w:rPr>
          <w:rFonts w:ascii="Arial" w:hAnsi="Arial" w:cs="Arial"/>
          <w:sz w:val="24"/>
          <w:szCs w:val="24"/>
        </w:rPr>
      </w:pPr>
      <w:r w:rsidRPr="00046A8F">
        <w:rPr>
          <w:rFonts w:ascii="Arial" w:hAnsi="Arial" w:cs="Arial"/>
          <w:sz w:val="24"/>
          <w:szCs w:val="24"/>
        </w:rPr>
        <w:t>All in cost shall be within the regulatory prescribed maximum.</w:t>
      </w:r>
    </w:p>
    <w:p w14:paraId="03F589DD" w14:textId="77777777" w:rsidR="008F25C1" w:rsidRPr="00046A8F" w:rsidRDefault="008F25C1" w:rsidP="00F63FBC">
      <w:pPr>
        <w:pStyle w:val="ListParagraph"/>
        <w:numPr>
          <w:ilvl w:val="0"/>
          <w:numId w:val="28"/>
        </w:numPr>
        <w:ind w:left="450"/>
        <w:jc w:val="both"/>
        <w:rPr>
          <w:rFonts w:ascii="Arial" w:hAnsi="Arial" w:cs="Arial"/>
          <w:sz w:val="24"/>
          <w:szCs w:val="24"/>
        </w:rPr>
      </w:pPr>
      <w:r w:rsidRPr="00046A8F">
        <w:rPr>
          <w:rFonts w:ascii="Arial" w:hAnsi="Arial" w:cs="Arial"/>
          <w:sz w:val="24"/>
          <w:szCs w:val="24"/>
        </w:rPr>
        <w:t xml:space="preserve">Cost of borrowing including the hedging cost shall </w:t>
      </w:r>
      <w:r w:rsidRPr="0007085E">
        <w:rPr>
          <w:rFonts w:ascii="Arial" w:hAnsi="Arial" w:cs="Arial"/>
          <w:sz w:val="24"/>
          <w:szCs w:val="24"/>
        </w:rPr>
        <w:t>be</w:t>
      </w:r>
      <w:r w:rsidR="0007085E" w:rsidRPr="0007085E">
        <w:rPr>
          <w:rFonts w:ascii="Arial" w:hAnsi="Arial" w:cs="Arial"/>
          <w:sz w:val="24"/>
          <w:szCs w:val="24"/>
        </w:rPr>
        <w:t xml:space="preserve"> comparable to</w:t>
      </w:r>
      <w:r w:rsidR="00D23408" w:rsidRPr="0007085E">
        <w:rPr>
          <w:rFonts w:ascii="Arial" w:hAnsi="Arial" w:cs="Arial"/>
          <w:sz w:val="24"/>
          <w:szCs w:val="24"/>
        </w:rPr>
        <w:t xml:space="preserve"> </w:t>
      </w:r>
      <w:r w:rsidRPr="00046A8F">
        <w:rPr>
          <w:rFonts w:ascii="Arial" w:hAnsi="Arial" w:cs="Arial"/>
          <w:sz w:val="24"/>
          <w:szCs w:val="24"/>
        </w:rPr>
        <w:t xml:space="preserve">the prevailing domestic borrowings of similar maturity. </w:t>
      </w:r>
    </w:p>
    <w:p w14:paraId="7DB691D1" w14:textId="77777777" w:rsidR="008F25C1" w:rsidRPr="00046A8F" w:rsidRDefault="008F25C1" w:rsidP="00F63FBC">
      <w:pPr>
        <w:spacing w:line="276" w:lineRule="auto"/>
        <w:ind w:left="90"/>
        <w:jc w:val="both"/>
        <w:rPr>
          <w:rFonts w:ascii="Arial" w:hAnsi="Arial" w:cs="Arial"/>
          <w:sz w:val="24"/>
          <w:szCs w:val="24"/>
        </w:rPr>
      </w:pPr>
      <w:r w:rsidRPr="00046A8F">
        <w:rPr>
          <w:rFonts w:ascii="Arial" w:hAnsi="Arial" w:cs="Arial"/>
          <w:sz w:val="24"/>
          <w:szCs w:val="24"/>
        </w:rPr>
        <w:t xml:space="preserve">MAFIL may also avail of fully hedged foreign currency loans from Banks in India if the </w:t>
      </w:r>
      <w:r w:rsidR="0007085E" w:rsidRPr="00046A8F">
        <w:rPr>
          <w:rFonts w:ascii="Arial" w:hAnsi="Arial" w:cs="Arial"/>
          <w:sz w:val="24"/>
          <w:szCs w:val="24"/>
        </w:rPr>
        <w:t>all-inclusive</w:t>
      </w:r>
      <w:r w:rsidRPr="00046A8F">
        <w:rPr>
          <w:rFonts w:ascii="Arial" w:hAnsi="Arial" w:cs="Arial"/>
          <w:sz w:val="24"/>
          <w:szCs w:val="24"/>
        </w:rPr>
        <w:t xml:space="preserve"> cost will be </w:t>
      </w:r>
      <w:r w:rsidR="00E950D4">
        <w:rPr>
          <w:rFonts w:ascii="Arial" w:hAnsi="Arial" w:cs="Arial"/>
          <w:sz w:val="24"/>
          <w:szCs w:val="24"/>
        </w:rPr>
        <w:t xml:space="preserve">comparable to </w:t>
      </w:r>
      <w:r w:rsidRPr="00046A8F">
        <w:rPr>
          <w:rFonts w:ascii="Arial" w:hAnsi="Arial" w:cs="Arial"/>
          <w:sz w:val="24"/>
          <w:szCs w:val="24"/>
        </w:rPr>
        <w:t xml:space="preserve">the </w:t>
      </w:r>
      <w:r w:rsidR="0038288F" w:rsidRPr="00046A8F">
        <w:rPr>
          <w:rFonts w:ascii="Arial" w:hAnsi="Arial" w:cs="Arial"/>
          <w:sz w:val="24"/>
          <w:szCs w:val="24"/>
        </w:rPr>
        <w:t xml:space="preserve">rupee borrowings. </w:t>
      </w:r>
    </w:p>
    <w:p w14:paraId="6004E80A" w14:textId="77777777" w:rsidR="004729A2" w:rsidRPr="00046A8F" w:rsidRDefault="0038288F" w:rsidP="00F63FBC">
      <w:pPr>
        <w:spacing w:line="276" w:lineRule="auto"/>
        <w:ind w:left="90"/>
        <w:rPr>
          <w:rFonts w:ascii="Arial" w:hAnsi="Arial" w:cs="Arial"/>
          <w:b/>
          <w:sz w:val="24"/>
          <w:szCs w:val="24"/>
        </w:rPr>
      </w:pPr>
      <w:r w:rsidRPr="00046A8F">
        <w:rPr>
          <w:rFonts w:ascii="Arial" w:eastAsia="Calibri" w:hAnsi="Arial" w:cs="Arial"/>
          <w:b/>
          <w:iCs/>
          <w:sz w:val="24"/>
          <w:szCs w:val="24"/>
        </w:rPr>
        <w:t xml:space="preserve">3.4   </w:t>
      </w:r>
      <w:r w:rsidR="004729A2" w:rsidRPr="00046A8F">
        <w:rPr>
          <w:rFonts w:ascii="Arial" w:eastAsia="Calibri" w:hAnsi="Arial" w:cs="Arial"/>
          <w:b/>
          <w:iCs/>
          <w:sz w:val="24"/>
          <w:szCs w:val="24"/>
        </w:rPr>
        <w:t>Issue of Debt Securities.</w:t>
      </w:r>
    </w:p>
    <w:p w14:paraId="3746B28E" w14:textId="77777777" w:rsidR="0038288F" w:rsidRPr="00046A8F" w:rsidRDefault="00A53A4A" w:rsidP="00F63FBC">
      <w:pPr>
        <w:spacing w:after="0" w:line="276" w:lineRule="auto"/>
        <w:ind w:left="90"/>
        <w:rPr>
          <w:rFonts w:ascii="Arial" w:hAnsi="Arial" w:cs="Arial"/>
          <w:sz w:val="24"/>
          <w:szCs w:val="24"/>
        </w:rPr>
      </w:pPr>
      <w:r w:rsidRPr="00046A8F">
        <w:rPr>
          <w:rFonts w:ascii="Arial" w:eastAsia="Calibri" w:hAnsi="Arial" w:cs="Arial"/>
          <w:sz w:val="24"/>
          <w:szCs w:val="24"/>
        </w:rPr>
        <w:t xml:space="preserve">To strengthen the </w:t>
      </w:r>
      <w:r w:rsidR="0007085E" w:rsidRPr="00046A8F">
        <w:rPr>
          <w:rFonts w:ascii="Arial" w:eastAsia="Calibri" w:hAnsi="Arial" w:cs="Arial"/>
          <w:sz w:val="24"/>
          <w:szCs w:val="24"/>
        </w:rPr>
        <w:t>long-term</w:t>
      </w:r>
      <w:r w:rsidRPr="00046A8F">
        <w:rPr>
          <w:rFonts w:ascii="Arial" w:eastAsia="Calibri" w:hAnsi="Arial" w:cs="Arial"/>
          <w:sz w:val="24"/>
          <w:szCs w:val="24"/>
        </w:rPr>
        <w:t xml:space="preserve"> funds, MAFIL based on </w:t>
      </w:r>
      <w:r w:rsidR="0038288F" w:rsidRPr="00046A8F">
        <w:rPr>
          <w:rFonts w:ascii="Arial" w:eastAsia="Calibri" w:hAnsi="Arial" w:cs="Arial"/>
          <w:sz w:val="24"/>
          <w:szCs w:val="24"/>
        </w:rPr>
        <w:t>its business requirements and market conditions</w:t>
      </w:r>
      <w:r w:rsidRPr="00046A8F">
        <w:rPr>
          <w:rFonts w:ascii="Arial" w:eastAsia="Calibri" w:hAnsi="Arial" w:cs="Arial"/>
          <w:sz w:val="24"/>
          <w:szCs w:val="24"/>
        </w:rPr>
        <w:t xml:space="preserve"> may issue debt securities, as given below: </w:t>
      </w:r>
    </w:p>
    <w:p w14:paraId="2E3CD325" w14:textId="77777777" w:rsidR="0038288F" w:rsidRPr="00046A8F" w:rsidRDefault="0038288F" w:rsidP="00F63FBC">
      <w:pPr>
        <w:spacing w:after="0" w:line="276" w:lineRule="auto"/>
        <w:ind w:left="450" w:hanging="270"/>
        <w:jc w:val="both"/>
        <w:rPr>
          <w:rFonts w:ascii="Arial" w:hAnsi="Arial" w:cs="Arial"/>
          <w:sz w:val="24"/>
          <w:szCs w:val="24"/>
        </w:rPr>
      </w:pPr>
      <w:r w:rsidRPr="00046A8F">
        <w:rPr>
          <w:rFonts w:ascii="Arial" w:eastAsia="Calibri" w:hAnsi="Arial" w:cs="Arial"/>
          <w:sz w:val="24"/>
          <w:szCs w:val="24"/>
        </w:rPr>
        <w:t>a</w:t>
      </w:r>
      <w:r w:rsidRPr="00046A8F">
        <w:rPr>
          <w:rFonts w:ascii="Arial" w:eastAsia="Calibri" w:hAnsi="Arial" w:cs="Arial"/>
          <w:iCs/>
          <w:sz w:val="24"/>
          <w:szCs w:val="24"/>
        </w:rPr>
        <w:t xml:space="preserve">. Public issue of Rated Secured </w:t>
      </w:r>
      <w:r w:rsidR="00A53A4A" w:rsidRPr="00046A8F">
        <w:rPr>
          <w:rFonts w:ascii="Arial" w:eastAsia="Calibri" w:hAnsi="Arial" w:cs="Arial"/>
          <w:iCs/>
          <w:sz w:val="24"/>
          <w:szCs w:val="24"/>
        </w:rPr>
        <w:t>/ unsecured</w:t>
      </w:r>
      <w:r w:rsidRPr="00046A8F">
        <w:rPr>
          <w:rFonts w:ascii="Arial" w:eastAsia="Calibri" w:hAnsi="Arial" w:cs="Arial"/>
          <w:iCs/>
          <w:sz w:val="24"/>
          <w:szCs w:val="24"/>
        </w:rPr>
        <w:t xml:space="preserve"> </w:t>
      </w:r>
      <w:r w:rsidR="0007085E" w:rsidRPr="00046A8F">
        <w:rPr>
          <w:rFonts w:ascii="Arial" w:eastAsia="Calibri" w:hAnsi="Arial" w:cs="Arial"/>
          <w:iCs/>
          <w:sz w:val="24"/>
          <w:szCs w:val="24"/>
        </w:rPr>
        <w:t>Non-convertible</w:t>
      </w:r>
      <w:r w:rsidRPr="00046A8F">
        <w:rPr>
          <w:rFonts w:ascii="Arial" w:eastAsia="Calibri" w:hAnsi="Arial" w:cs="Arial"/>
          <w:iCs/>
          <w:sz w:val="24"/>
          <w:szCs w:val="24"/>
        </w:rPr>
        <w:t xml:space="preserve"> Debentures</w:t>
      </w:r>
      <w:r w:rsidR="00151ECA">
        <w:rPr>
          <w:rFonts w:ascii="Arial" w:eastAsia="Calibri" w:hAnsi="Arial" w:cs="Arial"/>
          <w:iCs/>
          <w:sz w:val="24"/>
          <w:szCs w:val="24"/>
        </w:rPr>
        <w:t xml:space="preserve"> </w:t>
      </w:r>
      <w:r w:rsidR="00D23408">
        <w:rPr>
          <w:rFonts w:ascii="Arial" w:eastAsia="Calibri" w:hAnsi="Arial" w:cs="Arial"/>
          <w:iCs/>
          <w:sz w:val="24"/>
          <w:szCs w:val="24"/>
        </w:rPr>
        <w:t>(</w:t>
      </w:r>
      <w:r w:rsidRPr="00046A8F">
        <w:rPr>
          <w:rFonts w:ascii="Arial" w:eastAsia="Calibri" w:hAnsi="Arial" w:cs="Arial"/>
          <w:iCs/>
          <w:sz w:val="24"/>
          <w:szCs w:val="24"/>
        </w:rPr>
        <w:t>NCDs)</w:t>
      </w:r>
    </w:p>
    <w:p w14:paraId="6E7CF8F2" w14:textId="77777777" w:rsidR="0038288F" w:rsidRPr="00046A8F" w:rsidRDefault="0038288F" w:rsidP="00F63FBC">
      <w:pPr>
        <w:spacing w:after="0" w:line="276" w:lineRule="auto"/>
        <w:ind w:left="180"/>
        <w:rPr>
          <w:rFonts w:ascii="Arial" w:hAnsi="Arial" w:cs="Arial"/>
          <w:sz w:val="24"/>
          <w:szCs w:val="24"/>
        </w:rPr>
      </w:pPr>
      <w:r w:rsidRPr="00046A8F">
        <w:rPr>
          <w:rFonts w:ascii="Arial" w:eastAsia="Calibri" w:hAnsi="Arial" w:cs="Arial"/>
          <w:iCs/>
          <w:sz w:val="24"/>
          <w:szCs w:val="24"/>
        </w:rPr>
        <w:t>b. Private placement of NCDs</w:t>
      </w:r>
    </w:p>
    <w:p w14:paraId="4B675932" w14:textId="77777777" w:rsidR="00BE1B55" w:rsidRDefault="0038288F" w:rsidP="00F63FBC">
      <w:pPr>
        <w:spacing w:after="0" w:line="276" w:lineRule="auto"/>
        <w:ind w:left="180" w:right="2980"/>
        <w:rPr>
          <w:rFonts w:ascii="Arial" w:eastAsia="Calibri" w:hAnsi="Arial" w:cs="Arial"/>
          <w:iCs/>
          <w:sz w:val="24"/>
          <w:szCs w:val="24"/>
        </w:rPr>
      </w:pPr>
      <w:r w:rsidRPr="00046A8F">
        <w:rPr>
          <w:rFonts w:ascii="Arial" w:eastAsia="Calibri" w:hAnsi="Arial" w:cs="Arial"/>
          <w:iCs/>
          <w:sz w:val="24"/>
          <w:szCs w:val="24"/>
        </w:rPr>
        <w:t xml:space="preserve">c. </w:t>
      </w:r>
      <w:r w:rsidR="00A53A4A" w:rsidRPr="00046A8F">
        <w:rPr>
          <w:rFonts w:ascii="Arial" w:eastAsia="Calibri" w:hAnsi="Arial" w:cs="Arial"/>
          <w:iCs/>
          <w:sz w:val="24"/>
          <w:szCs w:val="24"/>
        </w:rPr>
        <w:t xml:space="preserve">Public / private placement of Tier II bonds. </w:t>
      </w:r>
    </w:p>
    <w:p w14:paraId="56D5A19D" w14:textId="77777777" w:rsidR="00C31431" w:rsidRPr="00046A8F" w:rsidRDefault="00C31431" w:rsidP="00C31431">
      <w:pPr>
        <w:spacing w:after="0" w:line="276" w:lineRule="auto"/>
        <w:ind w:left="720" w:right="2980"/>
        <w:rPr>
          <w:rFonts w:ascii="Arial" w:eastAsia="Calibri" w:hAnsi="Arial" w:cs="Arial"/>
          <w:iCs/>
          <w:sz w:val="24"/>
          <w:szCs w:val="24"/>
        </w:rPr>
      </w:pPr>
    </w:p>
    <w:p w14:paraId="5CA5E4B1" w14:textId="77777777" w:rsidR="0038288F" w:rsidRPr="00046A8F" w:rsidRDefault="00A53A4A" w:rsidP="00F63FBC">
      <w:pPr>
        <w:spacing w:line="276" w:lineRule="auto"/>
        <w:ind w:left="90" w:right="2980"/>
        <w:rPr>
          <w:rFonts w:ascii="Arial" w:hAnsi="Arial" w:cs="Arial"/>
          <w:b/>
          <w:sz w:val="24"/>
          <w:szCs w:val="24"/>
        </w:rPr>
      </w:pPr>
      <w:r w:rsidRPr="00046A8F">
        <w:rPr>
          <w:rFonts w:ascii="Arial" w:eastAsia="Calibri" w:hAnsi="Arial" w:cs="Arial"/>
          <w:b/>
          <w:iCs/>
          <w:sz w:val="24"/>
          <w:szCs w:val="24"/>
        </w:rPr>
        <w:t xml:space="preserve">3.4.1   </w:t>
      </w:r>
      <w:r w:rsidR="0038288F" w:rsidRPr="00046A8F">
        <w:rPr>
          <w:rFonts w:ascii="Arial" w:eastAsia="Calibri" w:hAnsi="Arial" w:cs="Arial"/>
          <w:b/>
          <w:bCs/>
          <w:iCs/>
          <w:sz w:val="24"/>
          <w:szCs w:val="24"/>
        </w:rPr>
        <w:t>Public issue of NCDs</w:t>
      </w:r>
    </w:p>
    <w:p w14:paraId="63434047" w14:textId="77777777" w:rsidR="0038288F" w:rsidRDefault="0038288F" w:rsidP="00F63FBC">
      <w:pPr>
        <w:spacing w:after="0" w:line="276" w:lineRule="auto"/>
        <w:ind w:left="90"/>
        <w:jc w:val="both"/>
        <w:rPr>
          <w:rFonts w:ascii="Arial" w:eastAsia="Calibri" w:hAnsi="Arial" w:cs="Arial"/>
          <w:sz w:val="24"/>
          <w:szCs w:val="24"/>
        </w:rPr>
      </w:pPr>
      <w:r w:rsidRPr="00046A8F">
        <w:rPr>
          <w:rFonts w:ascii="Arial" w:eastAsia="Calibri" w:hAnsi="Arial" w:cs="Arial"/>
          <w:sz w:val="24"/>
          <w:szCs w:val="24"/>
        </w:rPr>
        <w:t xml:space="preserve">The company may subject to the compliance with the applicable provisions of laws and </w:t>
      </w:r>
      <w:r w:rsidRPr="00B80EA4">
        <w:rPr>
          <w:rFonts w:ascii="Arial" w:eastAsia="Calibri" w:hAnsi="Arial" w:cs="Arial"/>
          <w:sz w:val="24"/>
          <w:szCs w:val="24"/>
        </w:rPr>
        <w:t>regulations may issue Secured</w:t>
      </w:r>
      <w:r w:rsidR="00BE1B55" w:rsidRPr="00B80EA4">
        <w:rPr>
          <w:rFonts w:ascii="Arial" w:eastAsia="Calibri" w:hAnsi="Arial" w:cs="Arial"/>
          <w:sz w:val="24"/>
          <w:szCs w:val="24"/>
        </w:rPr>
        <w:t xml:space="preserve"> / Unsecured </w:t>
      </w:r>
      <w:r w:rsidR="0007085E" w:rsidRPr="00B80EA4">
        <w:rPr>
          <w:rFonts w:ascii="Arial" w:eastAsia="Calibri" w:hAnsi="Arial" w:cs="Arial"/>
          <w:sz w:val="24"/>
          <w:szCs w:val="24"/>
        </w:rPr>
        <w:t>Non-convertible</w:t>
      </w:r>
      <w:r w:rsidRPr="00B80EA4">
        <w:rPr>
          <w:rFonts w:ascii="Arial" w:eastAsia="Calibri" w:hAnsi="Arial" w:cs="Arial"/>
          <w:sz w:val="24"/>
          <w:szCs w:val="24"/>
        </w:rPr>
        <w:t xml:space="preserve"> Debentures with maturity period of 12 months and above (NCDs/Bonds) at such intervals by way of public issue at such coupon rates as the company think fit from time to time and shall be listed in one or more recognized</w:t>
      </w:r>
      <w:r w:rsidRPr="00046A8F">
        <w:rPr>
          <w:rFonts w:ascii="Arial" w:eastAsia="Calibri" w:hAnsi="Arial" w:cs="Arial"/>
          <w:sz w:val="24"/>
          <w:szCs w:val="24"/>
        </w:rPr>
        <w:t xml:space="preserve"> stock exchanges in India. The frequency of the issue may be decided by the Board / Committee of the Board from time to time depending on the business environment, market conditions and regulatory provisions in this behalf.</w:t>
      </w:r>
      <w:r w:rsidR="009E495C" w:rsidRPr="00046A8F">
        <w:rPr>
          <w:rFonts w:ascii="Arial" w:eastAsia="Calibri" w:hAnsi="Arial" w:cs="Arial"/>
          <w:sz w:val="24"/>
          <w:szCs w:val="24"/>
        </w:rPr>
        <w:t xml:space="preserve">  MAFIL shall not extend any loans against the NCDs issued by it. </w:t>
      </w:r>
    </w:p>
    <w:p w14:paraId="2605C5CD" w14:textId="77777777" w:rsidR="00B80EA4" w:rsidRDefault="00B80EA4" w:rsidP="00F63FBC">
      <w:pPr>
        <w:spacing w:after="0" w:line="276" w:lineRule="auto"/>
        <w:ind w:left="90"/>
        <w:jc w:val="both"/>
        <w:rPr>
          <w:rFonts w:ascii="Arial" w:eastAsia="Calibri" w:hAnsi="Arial" w:cs="Arial"/>
          <w:sz w:val="24"/>
          <w:szCs w:val="24"/>
        </w:rPr>
      </w:pPr>
    </w:p>
    <w:p w14:paraId="4682136D" w14:textId="77777777" w:rsidR="00B80EA4" w:rsidRDefault="00B80EA4" w:rsidP="00F63FBC">
      <w:pPr>
        <w:spacing w:after="0" w:line="276" w:lineRule="auto"/>
        <w:ind w:left="90"/>
        <w:jc w:val="both"/>
        <w:rPr>
          <w:rFonts w:ascii="Arial" w:eastAsia="Calibri" w:hAnsi="Arial" w:cs="Arial"/>
          <w:sz w:val="24"/>
          <w:szCs w:val="24"/>
        </w:rPr>
      </w:pPr>
    </w:p>
    <w:p w14:paraId="07302128" w14:textId="77777777" w:rsidR="00F63FBC" w:rsidRDefault="00F63FBC" w:rsidP="00F63FBC">
      <w:pPr>
        <w:spacing w:after="0" w:line="276" w:lineRule="auto"/>
        <w:ind w:left="450"/>
        <w:jc w:val="both"/>
        <w:rPr>
          <w:rFonts w:ascii="Arial" w:eastAsia="Calibri" w:hAnsi="Arial" w:cs="Arial"/>
          <w:sz w:val="24"/>
          <w:szCs w:val="24"/>
        </w:rPr>
      </w:pPr>
    </w:p>
    <w:p w14:paraId="5C74A5DD" w14:textId="77777777" w:rsidR="00F63FBC" w:rsidRPr="00F63FBC" w:rsidRDefault="00F63FBC" w:rsidP="00F63FBC">
      <w:pPr>
        <w:spacing w:after="0" w:line="276" w:lineRule="auto"/>
        <w:ind w:left="450"/>
        <w:jc w:val="both"/>
        <w:rPr>
          <w:rFonts w:ascii="Arial" w:eastAsia="Calibri" w:hAnsi="Arial" w:cs="Arial"/>
          <w:sz w:val="24"/>
          <w:szCs w:val="24"/>
        </w:rPr>
      </w:pPr>
    </w:p>
    <w:p w14:paraId="020C012E" w14:textId="77777777" w:rsidR="00B47F6C" w:rsidRDefault="00B47F6C" w:rsidP="00EE71F7">
      <w:pPr>
        <w:spacing w:line="276" w:lineRule="auto"/>
        <w:jc w:val="both"/>
        <w:rPr>
          <w:rFonts w:ascii="Arial" w:eastAsia="Calibri" w:hAnsi="Arial" w:cs="Arial"/>
          <w:sz w:val="24"/>
          <w:szCs w:val="24"/>
        </w:rPr>
      </w:pPr>
    </w:p>
    <w:p w14:paraId="53DBB491" w14:textId="37BF004A" w:rsidR="004215B3" w:rsidRDefault="00B37D8B"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r>
        <w:rPr>
          <w:rFonts w:ascii="Arial" w:hAnsi="Arial" w:cs="Arial"/>
          <w:color w:val="000000"/>
          <w:sz w:val="24"/>
          <w:szCs w:val="24"/>
          <w:lang w:val="en-US"/>
        </w:rPr>
        <w:t>3.4.2 Private Placement of NCDS</w:t>
      </w:r>
    </w:p>
    <w:p w14:paraId="357ADE37" w14:textId="0D129E87" w:rsidR="00B37D8B" w:rsidRDefault="00B37D8B"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p>
    <w:p w14:paraId="7FCF67B9" w14:textId="542BE421" w:rsidR="00B37D8B" w:rsidRDefault="00C9729F"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r w:rsidRPr="00C9729F">
        <w:rPr>
          <w:rFonts w:ascii="Arial" w:hAnsi="Arial" w:cs="Arial"/>
          <w:color w:val="000000"/>
          <w:sz w:val="24"/>
          <w:szCs w:val="24"/>
          <w:lang w:val="en-US"/>
        </w:rPr>
        <w:t>In accordance with applicable rules and regulations, the Company may issue NCDs through the private placement route from Banks, MFs, Insurance companies, or any other qualified investor.</w:t>
      </w:r>
      <w:r>
        <w:rPr>
          <w:rFonts w:ascii="Arial" w:hAnsi="Arial" w:cs="Arial"/>
          <w:color w:val="000000"/>
          <w:sz w:val="24"/>
          <w:szCs w:val="24"/>
          <w:lang w:val="en-US"/>
        </w:rPr>
        <w:t xml:space="preserve"> </w:t>
      </w:r>
      <w:r w:rsidRPr="00C9729F">
        <w:rPr>
          <w:rFonts w:ascii="Arial" w:hAnsi="Arial" w:cs="Arial"/>
          <w:color w:val="000000"/>
          <w:sz w:val="24"/>
          <w:szCs w:val="24"/>
          <w:lang w:val="en-US"/>
        </w:rPr>
        <w:t>The minimum NCD tenor should be one year or more, with coupon rates that the firm may occasionally deem appropriate. It may also be listed or unlisted. The Board or a Committee of the Board may periodically determine the issue's frequency based on the business climate, the state of the market, and applicable laws.</w:t>
      </w:r>
    </w:p>
    <w:p w14:paraId="4861632C" w14:textId="6D92EA26" w:rsidR="00B37D8B" w:rsidRDefault="00B37D8B"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p>
    <w:p w14:paraId="378CAECC" w14:textId="7FE3E0BB" w:rsidR="00B37D8B" w:rsidRDefault="00B37D8B"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p>
    <w:p w14:paraId="643158DF" w14:textId="77777777" w:rsidR="00B37D8B" w:rsidRPr="004215B3" w:rsidRDefault="00B37D8B" w:rsidP="004215B3">
      <w:pPr>
        <w:pStyle w:val="ListParagraph"/>
        <w:autoSpaceDE w:val="0"/>
        <w:autoSpaceDN w:val="0"/>
        <w:adjustRightInd w:val="0"/>
        <w:spacing w:after="0" w:line="240" w:lineRule="auto"/>
        <w:ind w:left="90"/>
        <w:jc w:val="both"/>
        <w:rPr>
          <w:rFonts w:ascii="Arial" w:hAnsi="Arial" w:cs="Arial"/>
          <w:color w:val="000000"/>
          <w:sz w:val="24"/>
          <w:szCs w:val="24"/>
          <w:lang w:val="en-US"/>
        </w:rPr>
      </w:pPr>
    </w:p>
    <w:p w14:paraId="2EAAF020" w14:textId="6E5275EA" w:rsidR="00B47F6C" w:rsidRPr="004215B3" w:rsidRDefault="00B47F6C" w:rsidP="004215B3">
      <w:pPr>
        <w:spacing w:line="276" w:lineRule="auto"/>
        <w:jc w:val="both"/>
        <w:rPr>
          <w:rFonts w:ascii="Arial" w:hAnsi="Arial" w:cs="Arial"/>
          <w:b/>
          <w:sz w:val="24"/>
          <w:szCs w:val="24"/>
        </w:rPr>
      </w:pPr>
      <w:r w:rsidRPr="00693B9C">
        <w:rPr>
          <w:rFonts w:ascii="Arial" w:hAnsi="Arial" w:cs="Arial"/>
          <w:b/>
          <w:sz w:val="24"/>
          <w:szCs w:val="24"/>
        </w:rPr>
        <w:t>3.4.</w:t>
      </w:r>
      <w:r w:rsidR="00C9729F">
        <w:rPr>
          <w:rFonts w:ascii="Arial" w:hAnsi="Arial" w:cs="Arial"/>
          <w:b/>
          <w:sz w:val="24"/>
          <w:szCs w:val="24"/>
        </w:rPr>
        <w:t>3</w:t>
      </w:r>
      <w:r w:rsidRPr="00693B9C">
        <w:rPr>
          <w:rFonts w:ascii="Arial" w:hAnsi="Arial" w:cs="Arial"/>
          <w:b/>
          <w:sz w:val="24"/>
          <w:szCs w:val="24"/>
        </w:rPr>
        <w:t>  Sale of assets through securitization / Direct Assignment</w:t>
      </w:r>
      <w:r w:rsidR="00D4068F">
        <w:rPr>
          <w:rFonts w:ascii="Arial" w:hAnsi="Arial" w:cs="Arial"/>
          <w:b/>
          <w:sz w:val="24"/>
          <w:szCs w:val="24"/>
        </w:rPr>
        <w:t>.</w:t>
      </w:r>
    </w:p>
    <w:p w14:paraId="6ECAC01B" w14:textId="2F499F57" w:rsidR="00B47F6C" w:rsidRPr="0079746C" w:rsidRDefault="00B47F6C" w:rsidP="00693B9C">
      <w:pPr>
        <w:autoSpaceDE w:val="0"/>
        <w:autoSpaceDN w:val="0"/>
        <w:adjustRightInd w:val="0"/>
        <w:spacing w:after="0" w:line="240" w:lineRule="auto"/>
        <w:jc w:val="both"/>
        <w:rPr>
          <w:rFonts w:ascii="Arial" w:hAnsi="Arial" w:cs="Arial"/>
          <w:sz w:val="24"/>
          <w:szCs w:val="24"/>
          <w:lang w:val="en-US"/>
        </w:rPr>
      </w:pPr>
      <w:r w:rsidRPr="0079746C">
        <w:rPr>
          <w:rFonts w:ascii="Arial" w:hAnsi="Arial" w:cs="Arial"/>
          <w:sz w:val="24"/>
          <w:szCs w:val="24"/>
          <w:lang w:val="en-US"/>
        </w:rPr>
        <w:t>Banks acquire portfolios, especially priority sector pools from NBFCs. </w:t>
      </w:r>
      <w:r w:rsidR="00CA1C1C" w:rsidRPr="0079746C">
        <w:rPr>
          <w:rFonts w:ascii="Arial" w:hAnsi="Arial" w:cs="Arial"/>
          <w:sz w:val="24"/>
          <w:szCs w:val="24"/>
          <w:lang w:val="en-US"/>
        </w:rPr>
        <w:t xml:space="preserve"> Though Business Model of MAFIL is “Hold to maturity” of </w:t>
      </w:r>
      <w:r w:rsidR="0041050E" w:rsidRPr="0079746C">
        <w:rPr>
          <w:rFonts w:ascii="Arial" w:hAnsi="Arial" w:cs="Arial"/>
          <w:sz w:val="24"/>
          <w:szCs w:val="24"/>
          <w:lang w:val="en-US"/>
        </w:rPr>
        <w:t>its</w:t>
      </w:r>
      <w:r w:rsidR="00CA1C1C" w:rsidRPr="0079746C">
        <w:rPr>
          <w:rFonts w:ascii="Arial" w:hAnsi="Arial" w:cs="Arial"/>
          <w:sz w:val="24"/>
          <w:szCs w:val="24"/>
          <w:lang w:val="en-US"/>
        </w:rPr>
        <w:t xml:space="preserve"> financial</w:t>
      </w:r>
      <w:r w:rsidR="0041050E" w:rsidRPr="0079746C">
        <w:rPr>
          <w:rFonts w:ascii="Arial" w:hAnsi="Arial" w:cs="Arial"/>
          <w:sz w:val="24"/>
          <w:szCs w:val="24"/>
          <w:lang w:val="en-US"/>
        </w:rPr>
        <w:t xml:space="preserve"> assets</w:t>
      </w:r>
      <w:r w:rsidR="00CA1C1C" w:rsidRPr="0079746C">
        <w:rPr>
          <w:rFonts w:ascii="Arial" w:hAnsi="Arial" w:cs="Arial"/>
          <w:sz w:val="24"/>
          <w:szCs w:val="24"/>
          <w:lang w:val="en-US"/>
        </w:rPr>
        <w:t xml:space="preserve">, as ancillary to it main objective may </w:t>
      </w:r>
      <w:r w:rsidRPr="0079746C">
        <w:rPr>
          <w:rFonts w:ascii="Arial" w:hAnsi="Arial" w:cs="Arial"/>
          <w:sz w:val="24"/>
          <w:szCs w:val="24"/>
          <w:lang w:val="en-US"/>
        </w:rPr>
        <w:t xml:space="preserve">raise funds through sale of assets through securitization / Direct Assignment. </w:t>
      </w:r>
    </w:p>
    <w:p w14:paraId="25A0A752" w14:textId="35A266E2" w:rsidR="00FF2348" w:rsidRDefault="00FF2348" w:rsidP="00693B9C">
      <w:pPr>
        <w:autoSpaceDE w:val="0"/>
        <w:autoSpaceDN w:val="0"/>
        <w:adjustRightInd w:val="0"/>
        <w:spacing w:after="0" w:line="240" w:lineRule="auto"/>
        <w:jc w:val="both"/>
        <w:rPr>
          <w:rFonts w:ascii="Arial" w:hAnsi="Arial" w:cs="Arial"/>
          <w:color w:val="000000"/>
          <w:sz w:val="24"/>
          <w:szCs w:val="24"/>
          <w:lang w:val="en-US"/>
        </w:rPr>
      </w:pPr>
    </w:p>
    <w:p w14:paraId="1BBD878C" w14:textId="1EC3D5E7" w:rsidR="00FF2348" w:rsidRDefault="00FF2348" w:rsidP="00693B9C">
      <w:pPr>
        <w:autoSpaceDE w:val="0"/>
        <w:autoSpaceDN w:val="0"/>
        <w:adjustRightInd w:val="0"/>
        <w:spacing w:after="0" w:line="240" w:lineRule="auto"/>
        <w:jc w:val="both"/>
        <w:rPr>
          <w:rFonts w:ascii="Arial" w:hAnsi="Arial" w:cs="Arial"/>
          <w:color w:val="000000"/>
          <w:sz w:val="24"/>
          <w:szCs w:val="24"/>
          <w:lang w:val="en-US"/>
        </w:rPr>
      </w:pPr>
    </w:p>
    <w:p w14:paraId="59F1D349" w14:textId="6C8271FD" w:rsidR="00FF2348" w:rsidRPr="0079746C" w:rsidRDefault="00FF2348" w:rsidP="00693B9C">
      <w:pPr>
        <w:autoSpaceDE w:val="0"/>
        <w:autoSpaceDN w:val="0"/>
        <w:adjustRightInd w:val="0"/>
        <w:spacing w:after="0" w:line="240" w:lineRule="auto"/>
        <w:jc w:val="both"/>
        <w:rPr>
          <w:rFonts w:ascii="Arial" w:hAnsi="Arial" w:cs="Arial"/>
          <w:b/>
          <w:bCs/>
          <w:sz w:val="24"/>
          <w:szCs w:val="24"/>
          <w:lang w:val="en-US"/>
        </w:rPr>
      </w:pPr>
      <w:r w:rsidRPr="00FE1B4C">
        <w:rPr>
          <w:rFonts w:ascii="Arial" w:hAnsi="Arial" w:cs="Arial"/>
          <w:b/>
          <w:bCs/>
          <w:color w:val="000000"/>
          <w:sz w:val="24"/>
          <w:szCs w:val="24"/>
          <w:lang w:val="en-US"/>
        </w:rPr>
        <w:t>3.4.</w:t>
      </w:r>
      <w:r w:rsidR="00C9729F">
        <w:rPr>
          <w:rFonts w:ascii="Arial" w:hAnsi="Arial" w:cs="Arial"/>
          <w:b/>
          <w:bCs/>
          <w:color w:val="000000"/>
          <w:sz w:val="24"/>
          <w:szCs w:val="24"/>
          <w:lang w:val="en-US"/>
        </w:rPr>
        <w:t>4</w:t>
      </w:r>
      <w:r w:rsidRPr="00FE1B4C">
        <w:rPr>
          <w:rFonts w:ascii="Arial" w:hAnsi="Arial" w:cs="Arial"/>
          <w:b/>
          <w:bCs/>
          <w:color w:val="000000"/>
          <w:sz w:val="24"/>
          <w:szCs w:val="24"/>
          <w:lang w:val="en-US"/>
        </w:rPr>
        <w:t xml:space="preserve"> Bank Loans to NBFCs for </w:t>
      </w:r>
      <w:r w:rsidRPr="0079746C">
        <w:rPr>
          <w:rFonts w:ascii="Arial" w:hAnsi="Arial" w:cs="Arial"/>
          <w:b/>
          <w:bCs/>
          <w:sz w:val="24"/>
          <w:szCs w:val="24"/>
          <w:lang w:val="en-US"/>
        </w:rPr>
        <w:t>on-lending</w:t>
      </w:r>
      <w:r w:rsidR="0041050E" w:rsidRPr="0079746C">
        <w:rPr>
          <w:rFonts w:ascii="Arial" w:hAnsi="Arial" w:cs="Arial"/>
          <w:b/>
          <w:bCs/>
          <w:sz w:val="24"/>
          <w:szCs w:val="24"/>
          <w:lang w:val="en-US"/>
        </w:rPr>
        <w:t xml:space="preserve"> to priority sector</w:t>
      </w:r>
      <w:r w:rsidRPr="0079746C">
        <w:rPr>
          <w:rFonts w:ascii="Arial" w:hAnsi="Arial" w:cs="Arial"/>
          <w:b/>
          <w:bCs/>
          <w:sz w:val="24"/>
          <w:szCs w:val="24"/>
          <w:lang w:val="en-US"/>
        </w:rPr>
        <w:t xml:space="preserve"> </w:t>
      </w:r>
    </w:p>
    <w:p w14:paraId="23C8876A" w14:textId="0F1DE6D8" w:rsidR="00FF2348" w:rsidRDefault="00FF2348" w:rsidP="00693B9C">
      <w:pPr>
        <w:autoSpaceDE w:val="0"/>
        <w:autoSpaceDN w:val="0"/>
        <w:adjustRightInd w:val="0"/>
        <w:spacing w:after="0" w:line="240" w:lineRule="auto"/>
        <w:jc w:val="both"/>
        <w:rPr>
          <w:rFonts w:ascii="Arial" w:hAnsi="Arial" w:cs="Arial"/>
          <w:color w:val="000000"/>
          <w:sz w:val="24"/>
          <w:szCs w:val="24"/>
          <w:lang w:val="en-US"/>
        </w:rPr>
      </w:pPr>
    </w:p>
    <w:p w14:paraId="1264060B" w14:textId="5EF27063" w:rsidR="00FF2348" w:rsidRDefault="00FF2348" w:rsidP="00693B9C">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Bank Credit to registered NBFCs (other than MFIs) for on-lending will be eligible for classification as priority sector under respective categories subject to the following conditions:</w:t>
      </w:r>
    </w:p>
    <w:p w14:paraId="092D95E8" w14:textId="6B317C0A" w:rsidR="00FF2348" w:rsidRDefault="00FF2348" w:rsidP="00693B9C">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 </w:t>
      </w:r>
    </w:p>
    <w:p w14:paraId="41835547" w14:textId="77777777" w:rsidR="00FF2348" w:rsidRPr="00474E78" w:rsidRDefault="00FF2348" w:rsidP="00474E78">
      <w:pPr>
        <w:autoSpaceDE w:val="0"/>
        <w:autoSpaceDN w:val="0"/>
        <w:adjustRightInd w:val="0"/>
        <w:spacing w:after="0" w:line="240" w:lineRule="auto"/>
        <w:jc w:val="both"/>
        <w:rPr>
          <w:sz w:val="24"/>
          <w:szCs w:val="24"/>
        </w:rPr>
      </w:pPr>
      <w:r w:rsidRPr="00474E78">
        <w:rPr>
          <w:rFonts w:ascii="Arial" w:hAnsi="Arial" w:cs="Arial"/>
          <w:color w:val="000000"/>
          <w:sz w:val="24"/>
          <w:szCs w:val="24"/>
          <w:lang w:val="en-US"/>
        </w:rPr>
        <w:t xml:space="preserve">(i) Agriculture: On-lending by NBFCs for ‘Term lending’ component under Agriculture will be allowed up to ₹ 10 lakh per borrower. </w:t>
      </w:r>
    </w:p>
    <w:p w14:paraId="666B4A8D" w14:textId="77777777" w:rsidR="00FF2348" w:rsidRPr="00474E78" w:rsidRDefault="00FF2348" w:rsidP="00474E78">
      <w:pPr>
        <w:autoSpaceDE w:val="0"/>
        <w:autoSpaceDN w:val="0"/>
        <w:adjustRightInd w:val="0"/>
        <w:spacing w:after="0" w:line="240" w:lineRule="auto"/>
        <w:jc w:val="both"/>
        <w:rPr>
          <w:sz w:val="24"/>
          <w:szCs w:val="24"/>
        </w:rPr>
      </w:pPr>
    </w:p>
    <w:p w14:paraId="3D17E12F" w14:textId="77777777" w:rsidR="00FF2348" w:rsidRPr="00474E78" w:rsidRDefault="00FF2348" w:rsidP="00474E78">
      <w:pPr>
        <w:autoSpaceDE w:val="0"/>
        <w:autoSpaceDN w:val="0"/>
        <w:adjustRightInd w:val="0"/>
        <w:spacing w:after="0" w:line="240" w:lineRule="auto"/>
        <w:jc w:val="both"/>
        <w:rPr>
          <w:sz w:val="24"/>
          <w:szCs w:val="24"/>
        </w:rPr>
      </w:pPr>
      <w:r w:rsidRPr="00474E78">
        <w:rPr>
          <w:rFonts w:ascii="Arial" w:hAnsi="Arial" w:cs="Arial"/>
          <w:color w:val="000000"/>
          <w:sz w:val="24"/>
          <w:szCs w:val="24"/>
          <w:lang w:val="en-US"/>
        </w:rPr>
        <w:t xml:space="preserve">(ii) Micro &amp; Small enterprises: On-lending by NBFC will be allowed up to ₹ 20 lakh per borrower. </w:t>
      </w:r>
    </w:p>
    <w:p w14:paraId="5A59AAE4" w14:textId="77777777" w:rsidR="00D43DFC" w:rsidRDefault="00D43DFC" w:rsidP="00FF2348">
      <w:pPr>
        <w:autoSpaceDE w:val="0"/>
        <w:autoSpaceDN w:val="0"/>
        <w:adjustRightInd w:val="0"/>
        <w:spacing w:after="0" w:line="240" w:lineRule="auto"/>
        <w:jc w:val="both"/>
        <w:rPr>
          <w:rFonts w:ascii="Arial" w:hAnsi="Arial" w:cs="Arial"/>
          <w:color w:val="000000"/>
          <w:sz w:val="24"/>
          <w:szCs w:val="24"/>
          <w:lang w:val="en-US"/>
        </w:rPr>
      </w:pPr>
    </w:p>
    <w:p w14:paraId="7338CCC2" w14:textId="77777777" w:rsidR="004215B3" w:rsidRDefault="004215B3" w:rsidP="00693B9C">
      <w:pPr>
        <w:autoSpaceDE w:val="0"/>
        <w:autoSpaceDN w:val="0"/>
        <w:adjustRightInd w:val="0"/>
        <w:spacing w:after="0" w:line="240" w:lineRule="auto"/>
        <w:jc w:val="both"/>
        <w:rPr>
          <w:rFonts w:ascii="Arial" w:hAnsi="Arial" w:cs="Arial"/>
          <w:color w:val="000000"/>
          <w:sz w:val="24"/>
          <w:szCs w:val="24"/>
          <w:lang w:val="en-US"/>
        </w:rPr>
      </w:pPr>
    </w:p>
    <w:p w14:paraId="4F68FB72" w14:textId="77777777" w:rsidR="00693B9C" w:rsidRPr="00693B9C" w:rsidRDefault="00693B9C" w:rsidP="00693B9C">
      <w:pPr>
        <w:autoSpaceDE w:val="0"/>
        <w:autoSpaceDN w:val="0"/>
        <w:adjustRightInd w:val="0"/>
        <w:spacing w:after="0" w:line="240" w:lineRule="auto"/>
        <w:jc w:val="both"/>
        <w:rPr>
          <w:rFonts w:ascii="Arial" w:hAnsi="Arial" w:cs="Arial"/>
          <w:color w:val="000000"/>
          <w:sz w:val="24"/>
          <w:szCs w:val="24"/>
          <w:lang w:val="en-US"/>
        </w:rPr>
      </w:pPr>
    </w:p>
    <w:p w14:paraId="098335EF" w14:textId="77777777" w:rsidR="004A1F68" w:rsidRPr="00046A8F" w:rsidRDefault="00DB677A" w:rsidP="00283768">
      <w:pPr>
        <w:spacing w:line="276" w:lineRule="auto"/>
        <w:jc w:val="both"/>
        <w:rPr>
          <w:rFonts w:ascii="Arial" w:eastAsia="Calibri" w:hAnsi="Arial" w:cs="Arial"/>
          <w:b/>
          <w:sz w:val="24"/>
          <w:szCs w:val="24"/>
        </w:rPr>
      </w:pPr>
      <w:r w:rsidRPr="00046A8F">
        <w:rPr>
          <w:rFonts w:ascii="Arial" w:eastAsia="Calibri" w:hAnsi="Arial" w:cs="Arial"/>
          <w:b/>
          <w:sz w:val="24"/>
          <w:szCs w:val="24"/>
        </w:rPr>
        <w:t>3.5 Subordinated</w:t>
      </w:r>
      <w:r w:rsidR="00D0797A" w:rsidRPr="00046A8F">
        <w:rPr>
          <w:rFonts w:ascii="Arial" w:eastAsia="Calibri" w:hAnsi="Arial" w:cs="Arial"/>
          <w:b/>
          <w:sz w:val="24"/>
          <w:szCs w:val="24"/>
        </w:rPr>
        <w:t xml:space="preserve"> debt instruments ranking for Tier II Capital</w:t>
      </w:r>
      <w:r w:rsidR="00D4068F">
        <w:rPr>
          <w:rFonts w:ascii="Arial" w:eastAsia="Calibri" w:hAnsi="Arial" w:cs="Arial"/>
          <w:b/>
          <w:sz w:val="24"/>
          <w:szCs w:val="24"/>
        </w:rPr>
        <w:t>.</w:t>
      </w:r>
    </w:p>
    <w:p w14:paraId="09B8CC6C" w14:textId="77777777" w:rsidR="004A1F68" w:rsidRPr="00B80EA4" w:rsidRDefault="00D0797A" w:rsidP="00283768">
      <w:pPr>
        <w:spacing w:line="276" w:lineRule="auto"/>
        <w:jc w:val="both"/>
        <w:rPr>
          <w:rFonts w:ascii="Arial" w:hAnsi="Arial" w:cs="Arial"/>
          <w:color w:val="000000"/>
          <w:sz w:val="24"/>
          <w:szCs w:val="24"/>
          <w:lang w:val="en-US"/>
        </w:rPr>
      </w:pPr>
      <w:r w:rsidRPr="00046A8F">
        <w:rPr>
          <w:rFonts w:ascii="Arial" w:hAnsi="Arial" w:cs="Arial"/>
          <w:sz w:val="24"/>
          <w:szCs w:val="24"/>
        </w:rPr>
        <w:t xml:space="preserve">MAFIL </w:t>
      </w:r>
      <w:r w:rsidR="009C59D1" w:rsidRPr="00046A8F">
        <w:rPr>
          <w:rFonts w:ascii="Arial" w:hAnsi="Arial" w:cs="Arial"/>
          <w:sz w:val="24"/>
          <w:szCs w:val="24"/>
        </w:rPr>
        <w:t>f</w:t>
      </w:r>
      <w:r w:rsidRPr="00046A8F">
        <w:rPr>
          <w:rFonts w:ascii="Arial" w:hAnsi="Arial" w:cs="Arial"/>
          <w:sz w:val="24"/>
          <w:szCs w:val="24"/>
        </w:rPr>
        <w:t xml:space="preserve">or meeting its capital requirements or contingency funding may </w:t>
      </w:r>
      <w:r w:rsidR="009C59D1" w:rsidRPr="00046A8F">
        <w:rPr>
          <w:rFonts w:ascii="Arial" w:hAnsi="Arial" w:cs="Arial"/>
          <w:sz w:val="24"/>
          <w:szCs w:val="24"/>
        </w:rPr>
        <w:t xml:space="preserve">issue unsecured subordinated debt instruments in the form of hybrid or plain vanilla debentures and preference shares.  These </w:t>
      </w:r>
      <w:r w:rsidR="00C31431" w:rsidRPr="00046A8F">
        <w:rPr>
          <w:rFonts w:ascii="Arial" w:hAnsi="Arial" w:cs="Arial"/>
          <w:color w:val="000000"/>
          <w:sz w:val="24"/>
          <w:szCs w:val="24"/>
          <w:lang w:val="en-US"/>
        </w:rPr>
        <w:t>instruments</w:t>
      </w:r>
      <w:r w:rsidR="009C59D1" w:rsidRPr="00046A8F">
        <w:rPr>
          <w:rFonts w:ascii="Arial" w:hAnsi="Arial" w:cs="Arial"/>
          <w:color w:val="000000"/>
          <w:sz w:val="24"/>
          <w:szCs w:val="24"/>
          <w:lang w:val="en-US"/>
        </w:rPr>
        <w:t xml:space="preserve"> shall be </w:t>
      </w:r>
      <w:r w:rsidR="004A1F68" w:rsidRPr="00046A8F">
        <w:rPr>
          <w:rFonts w:ascii="Arial" w:hAnsi="Arial" w:cs="Arial"/>
          <w:color w:val="000000"/>
          <w:sz w:val="24"/>
          <w:szCs w:val="24"/>
          <w:lang w:val="en-US"/>
        </w:rPr>
        <w:t>fully paid up</w:t>
      </w:r>
      <w:r w:rsidR="009C59D1" w:rsidRPr="00046A8F">
        <w:rPr>
          <w:rFonts w:ascii="Arial" w:hAnsi="Arial" w:cs="Arial"/>
          <w:color w:val="000000"/>
          <w:sz w:val="24"/>
          <w:szCs w:val="24"/>
          <w:lang w:val="en-US"/>
        </w:rPr>
        <w:t xml:space="preserve"> and</w:t>
      </w:r>
      <w:r w:rsidR="004A1F68" w:rsidRPr="00046A8F">
        <w:rPr>
          <w:rFonts w:ascii="Arial" w:hAnsi="Arial" w:cs="Arial"/>
          <w:color w:val="000000"/>
          <w:sz w:val="24"/>
          <w:szCs w:val="24"/>
          <w:lang w:val="en-US"/>
        </w:rPr>
        <w:t xml:space="preserve"> subordinated to the claims of other creditors </w:t>
      </w:r>
      <w:r w:rsidR="00DB677A" w:rsidRPr="00046A8F">
        <w:rPr>
          <w:rFonts w:ascii="Arial" w:hAnsi="Arial" w:cs="Arial"/>
          <w:color w:val="000000"/>
          <w:sz w:val="24"/>
          <w:szCs w:val="24"/>
          <w:lang w:val="en-US"/>
        </w:rPr>
        <w:t>and free</w:t>
      </w:r>
      <w:r w:rsidR="004A1F68" w:rsidRPr="00046A8F">
        <w:rPr>
          <w:rFonts w:ascii="Arial" w:hAnsi="Arial" w:cs="Arial"/>
          <w:color w:val="000000"/>
          <w:sz w:val="24"/>
          <w:szCs w:val="24"/>
          <w:lang w:val="en-US"/>
        </w:rPr>
        <w:t xml:space="preserve"> from restrictive </w:t>
      </w:r>
      <w:r w:rsidR="004A1F68" w:rsidRPr="00B80EA4">
        <w:rPr>
          <w:rFonts w:ascii="Arial" w:hAnsi="Arial" w:cs="Arial"/>
          <w:color w:val="000000"/>
          <w:sz w:val="24"/>
          <w:szCs w:val="24"/>
          <w:lang w:val="en-US"/>
        </w:rPr>
        <w:t xml:space="preserve">clauses and </w:t>
      </w:r>
      <w:r w:rsidR="009C59D1" w:rsidRPr="00B80EA4">
        <w:rPr>
          <w:rFonts w:ascii="Arial" w:hAnsi="Arial" w:cs="Arial"/>
          <w:color w:val="000000"/>
          <w:sz w:val="24"/>
          <w:szCs w:val="24"/>
          <w:lang w:val="en-US"/>
        </w:rPr>
        <w:t>are</w:t>
      </w:r>
      <w:r w:rsidR="004A1F68" w:rsidRPr="00B80EA4">
        <w:rPr>
          <w:rFonts w:ascii="Arial" w:hAnsi="Arial" w:cs="Arial"/>
          <w:color w:val="000000"/>
          <w:sz w:val="24"/>
          <w:szCs w:val="24"/>
          <w:lang w:val="en-US"/>
        </w:rPr>
        <w:t xml:space="preserve"> not redeemable at the instance of the holder or without the consent of the</w:t>
      </w:r>
      <w:r w:rsidR="009C59D1" w:rsidRPr="00B80EA4">
        <w:rPr>
          <w:rFonts w:ascii="Arial" w:hAnsi="Arial" w:cs="Arial"/>
          <w:color w:val="000000"/>
          <w:sz w:val="24"/>
          <w:szCs w:val="24"/>
          <w:lang w:val="en-US"/>
        </w:rPr>
        <w:t xml:space="preserve"> regulator. </w:t>
      </w:r>
    </w:p>
    <w:p w14:paraId="1187005D" w14:textId="77777777" w:rsidR="004215B3" w:rsidRDefault="00D9744F" w:rsidP="004215B3">
      <w:pPr>
        <w:spacing w:line="276" w:lineRule="auto"/>
        <w:jc w:val="both"/>
        <w:rPr>
          <w:rFonts w:ascii="Arial" w:eastAsia="Calibri" w:hAnsi="Arial" w:cs="Arial"/>
          <w:sz w:val="24"/>
          <w:szCs w:val="24"/>
        </w:rPr>
      </w:pPr>
      <w:r w:rsidRPr="00B80EA4">
        <w:rPr>
          <w:rFonts w:ascii="Arial" w:hAnsi="Arial" w:cs="Arial"/>
          <w:sz w:val="24"/>
          <w:szCs w:val="24"/>
        </w:rPr>
        <w:t>The</w:t>
      </w:r>
      <w:r w:rsidR="009C59D1" w:rsidRPr="00B80EA4">
        <w:rPr>
          <w:rFonts w:ascii="Arial" w:hAnsi="Arial" w:cs="Arial"/>
          <w:sz w:val="24"/>
          <w:szCs w:val="24"/>
        </w:rPr>
        <w:t>se</w:t>
      </w:r>
      <w:r w:rsidRPr="00B80EA4">
        <w:rPr>
          <w:rFonts w:ascii="Arial" w:hAnsi="Arial" w:cs="Arial"/>
          <w:sz w:val="24"/>
          <w:szCs w:val="24"/>
        </w:rPr>
        <w:t xml:space="preserve"> debt </w:t>
      </w:r>
      <w:r w:rsidR="00DB677A" w:rsidRPr="00B80EA4">
        <w:rPr>
          <w:rFonts w:ascii="Arial" w:hAnsi="Arial" w:cs="Arial"/>
          <w:sz w:val="24"/>
          <w:szCs w:val="24"/>
        </w:rPr>
        <w:t>instruments shall</w:t>
      </w:r>
      <w:r w:rsidR="009C59D1" w:rsidRPr="00B80EA4">
        <w:rPr>
          <w:rFonts w:ascii="Arial" w:hAnsi="Arial" w:cs="Arial"/>
          <w:sz w:val="24"/>
          <w:szCs w:val="24"/>
        </w:rPr>
        <w:t xml:space="preserve"> be issued for period longer than 5 years and shall have covenants to be eligible for classifying under Tier II Capital.   These</w:t>
      </w:r>
      <w:r w:rsidR="009C59D1" w:rsidRPr="00046A8F">
        <w:rPr>
          <w:rFonts w:ascii="Arial" w:hAnsi="Arial" w:cs="Arial"/>
          <w:sz w:val="24"/>
          <w:szCs w:val="24"/>
        </w:rPr>
        <w:t xml:space="preserve"> </w:t>
      </w:r>
      <w:r w:rsidR="009C59D1" w:rsidRPr="00046A8F">
        <w:rPr>
          <w:rFonts w:ascii="Arial" w:eastAsia="Calibri" w:hAnsi="Arial" w:cs="Arial"/>
          <w:sz w:val="24"/>
          <w:szCs w:val="24"/>
        </w:rPr>
        <w:t xml:space="preserve">instruments may be </w:t>
      </w:r>
      <w:r w:rsidR="009C59D1" w:rsidRPr="00046A8F">
        <w:rPr>
          <w:rFonts w:ascii="Arial" w:eastAsia="Calibri" w:hAnsi="Arial" w:cs="Arial"/>
          <w:sz w:val="24"/>
          <w:szCs w:val="24"/>
        </w:rPr>
        <w:lastRenderedPageBreak/>
        <w:t xml:space="preserve">issued to such class or category of investors as the Financial Resources and Management Committee of the Board decides. </w:t>
      </w:r>
    </w:p>
    <w:p w14:paraId="03259AF3" w14:textId="77777777" w:rsidR="004215B3" w:rsidRDefault="004215B3" w:rsidP="004215B3">
      <w:pPr>
        <w:pStyle w:val="Heading2"/>
        <w:spacing w:line="240" w:lineRule="auto"/>
        <w:rPr>
          <w:rFonts w:ascii="Arial" w:eastAsia="Calibri" w:hAnsi="Arial" w:cs="Arial"/>
          <w:bCs w:val="0"/>
          <w:color w:val="auto"/>
          <w:sz w:val="24"/>
          <w:szCs w:val="24"/>
        </w:rPr>
      </w:pPr>
      <w:bookmarkStart w:id="7" w:name="_Toc45205832"/>
      <w:r>
        <w:rPr>
          <w:rFonts w:ascii="Arial" w:eastAsia="Calibri" w:hAnsi="Arial" w:cs="Arial"/>
          <w:bCs w:val="0"/>
          <w:color w:val="auto"/>
          <w:sz w:val="24"/>
          <w:szCs w:val="24"/>
        </w:rPr>
        <w:t xml:space="preserve">4  </w:t>
      </w:r>
      <w:r w:rsidRPr="00B80EA4">
        <w:rPr>
          <w:rFonts w:ascii="Arial" w:eastAsia="Calibri" w:hAnsi="Arial" w:cs="Arial"/>
          <w:bCs w:val="0"/>
          <w:color w:val="auto"/>
          <w:sz w:val="24"/>
          <w:szCs w:val="24"/>
        </w:rPr>
        <w:t>Short term resources</w:t>
      </w:r>
      <w:bookmarkEnd w:id="7"/>
    </w:p>
    <w:p w14:paraId="54B6015E" w14:textId="77777777" w:rsidR="004215B3" w:rsidRPr="004215B3" w:rsidRDefault="004215B3" w:rsidP="004215B3">
      <w:pPr>
        <w:spacing w:line="240" w:lineRule="auto"/>
      </w:pPr>
    </w:p>
    <w:p w14:paraId="655F499E" w14:textId="77777777" w:rsidR="004215B3" w:rsidRPr="00046A8F" w:rsidRDefault="004215B3" w:rsidP="004215B3">
      <w:pPr>
        <w:spacing w:line="240" w:lineRule="auto"/>
        <w:jc w:val="both"/>
        <w:rPr>
          <w:rFonts w:ascii="Arial" w:eastAsia="Calibri" w:hAnsi="Arial" w:cs="Arial"/>
          <w:sz w:val="24"/>
          <w:szCs w:val="24"/>
        </w:rPr>
      </w:pPr>
      <w:r w:rsidRPr="00046A8F">
        <w:rPr>
          <w:rFonts w:ascii="Arial" w:hAnsi="Arial" w:cs="Arial"/>
          <w:color w:val="000000"/>
          <w:sz w:val="24"/>
          <w:szCs w:val="24"/>
          <w:lang w:val="en-US"/>
        </w:rPr>
        <w:t xml:space="preserve">Facilities with maturity up to 12 months </w:t>
      </w:r>
      <w:r w:rsidRPr="00046A8F">
        <w:rPr>
          <w:rFonts w:ascii="Arial" w:eastAsia="Calibri" w:hAnsi="Arial" w:cs="Arial"/>
          <w:sz w:val="24"/>
          <w:szCs w:val="24"/>
        </w:rPr>
        <w:t>shall be treated as short term resources. The main sources of such funds are cash credit facilities, short term loans / Working Capital Demand Loans from Banks and Commercial papers (CP). Depending on the ALM requirements the company may borrow funds from banks and other financial institutions / corporates from time to time and continue to issue commercial papers with maturity ranging from one month to 12 months.</w:t>
      </w:r>
    </w:p>
    <w:p w14:paraId="4C53A3BC" w14:textId="0FFB4F8A" w:rsidR="00E34E8C" w:rsidRPr="00046A8F" w:rsidRDefault="004215B3" w:rsidP="00B37D8B">
      <w:pPr>
        <w:pStyle w:val="head"/>
        <w:jc w:val="both"/>
        <w:rPr>
          <w:rFonts w:ascii="Arial" w:eastAsia="Calibri" w:hAnsi="Arial" w:cs="Arial"/>
        </w:rPr>
      </w:pPr>
      <w:r w:rsidRPr="00046A8F">
        <w:rPr>
          <w:rFonts w:ascii="Arial" w:hAnsi="Arial" w:cs="Arial"/>
        </w:rPr>
        <w:t xml:space="preserve">As </w:t>
      </w:r>
      <w:r w:rsidRPr="00E739D3">
        <w:rPr>
          <w:rFonts w:ascii="Arial" w:hAnsi="Arial" w:cs="Arial"/>
        </w:rPr>
        <w:t xml:space="preserve">per the Guidelines on Loan System for Delivery of Bank Credit, MAFIL need avail 60% of the Cash Credit </w:t>
      </w:r>
      <w:r w:rsidRPr="00046A8F">
        <w:rPr>
          <w:rFonts w:ascii="Arial" w:hAnsi="Arial" w:cs="Arial"/>
        </w:rPr>
        <w:t xml:space="preserve">facilities from banks as working capital loan.  MAFIL shall explore the possibility of availing the working capital loan component for longer periods. </w:t>
      </w:r>
      <w:r>
        <w:rPr>
          <w:rFonts w:ascii="Arial" w:hAnsi="Arial" w:cs="Arial"/>
        </w:rPr>
        <w:t>(more than 12 months)</w:t>
      </w:r>
    </w:p>
    <w:p w14:paraId="3FBD47DA" w14:textId="62EFEAE2" w:rsidR="006816A1" w:rsidRPr="00B80EA4" w:rsidRDefault="004215B3" w:rsidP="004215B3">
      <w:pPr>
        <w:pStyle w:val="Heading2"/>
        <w:spacing w:line="240" w:lineRule="auto"/>
        <w:ind w:left="360"/>
        <w:rPr>
          <w:rFonts w:ascii="Arial" w:eastAsia="Calibri" w:hAnsi="Arial" w:cs="Arial"/>
          <w:bCs w:val="0"/>
          <w:color w:val="auto"/>
          <w:sz w:val="24"/>
          <w:szCs w:val="24"/>
        </w:rPr>
      </w:pPr>
      <w:bookmarkStart w:id="8" w:name="_Toc45205833"/>
      <w:r>
        <w:rPr>
          <w:rFonts w:ascii="Arial" w:eastAsia="Calibri" w:hAnsi="Arial" w:cs="Arial"/>
          <w:bCs w:val="0"/>
          <w:color w:val="auto"/>
          <w:sz w:val="24"/>
          <w:szCs w:val="24"/>
        </w:rPr>
        <w:t xml:space="preserve">5  </w:t>
      </w:r>
      <w:r w:rsidR="004A0A64" w:rsidRPr="00B80EA4">
        <w:rPr>
          <w:rFonts w:ascii="Arial" w:eastAsia="Calibri" w:hAnsi="Arial" w:cs="Arial"/>
          <w:bCs w:val="0"/>
          <w:color w:val="auto"/>
          <w:sz w:val="24"/>
          <w:szCs w:val="24"/>
        </w:rPr>
        <w:t>Mix of resources</w:t>
      </w:r>
      <w:bookmarkEnd w:id="8"/>
      <w:r w:rsidR="004A0A64" w:rsidRPr="00B80EA4">
        <w:rPr>
          <w:rFonts w:ascii="Arial" w:eastAsia="Calibri" w:hAnsi="Arial" w:cs="Arial"/>
          <w:bCs w:val="0"/>
          <w:color w:val="auto"/>
          <w:sz w:val="24"/>
          <w:szCs w:val="24"/>
        </w:rPr>
        <w:t xml:space="preserve"> </w:t>
      </w:r>
    </w:p>
    <w:p w14:paraId="5B7A46E4" w14:textId="77777777" w:rsidR="00DB677A" w:rsidRPr="00046A8F" w:rsidRDefault="00DB677A" w:rsidP="00E34E8C">
      <w:pPr>
        <w:spacing w:line="276" w:lineRule="auto"/>
      </w:pPr>
    </w:p>
    <w:p w14:paraId="7CFE8AB7" w14:textId="10038D1A" w:rsidR="004918FB" w:rsidRPr="00046A8F" w:rsidRDefault="00485CC0" w:rsidP="00283768">
      <w:pPr>
        <w:pStyle w:val="ListParagraph"/>
        <w:numPr>
          <w:ilvl w:val="1"/>
          <w:numId w:val="32"/>
        </w:numPr>
        <w:ind w:left="720"/>
        <w:jc w:val="both"/>
        <w:rPr>
          <w:rFonts w:ascii="Arial" w:hAnsi="Arial" w:cs="Arial"/>
          <w:color w:val="000000"/>
          <w:sz w:val="24"/>
          <w:szCs w:val="24"/>
          <w:lang w:val="en-US"/>
        </w:rPr>
      </w:pPr>
      <w:r>
        <w:rPr>
          <w:rFonts w:ascii="Arial" w:hAnsi="Arial" w:cs="Arial"/>
          <w:color w:val="000000"/>
          <w:sz w:val="24"/>
          <w:szCs w:val="24"/>
          <w:lang w:val="en-US"/>
        </w:rPr>
        <w:t>S</w:t>
      </w:r>
      <w:r w:rsidR="004918FB" w:rsidRPr="00046A8F">
        <w:rPr>
          <w:rFonts w:ascii="Arial" w:hAnsi="Arial" w:cs="Arial"/>
          <w:color w:val="000000"/>
          <w:sz w:val="24"/>
          <w:szCs w:val="24"/>
          <w:lang w:val="en-US"/>
        </w:rPr>
        <w:t xml:space="preserve">hare of </w:t>
      </w:r>
      <w:r w:rsidR="008C1A87" w:rsidRPr="00046A8F">
        <w:rPr>
          <w:rFonts w:ascii="Arial" w:hAnsi="Arial" w:cs="Arial"/>
          <w:color w:val="000000"/>
          <w:sz w:val="24"/>
          <w:szCs w:val="24"/>
          <w:lang w:val="en-US"/>
        </w:rPr>
        <w:t>long-term</w:t>
      </w:r>
      <w:r w:rsidR="004918FB" w:rsidRPr="00046A8F">
        <w:rPr>
          <w:rFonts w:ascii="Arial" w:hAnsi="Arial" w:cs="Arial"/>
          <w:color w:val="000000"/>
          <w:sz w:val="24"/>
          <w:szCs w:val="24"/>
          <w:lang w:val="en-US"/>
        </w:rPr>
        <w:t xml:space="preserve"> financial resources shall be </w:t>
      </w:r>
      <w:r w:rsidR="00D73453" w:rsidRPr="00046A8F">
        <w:rPr>
          <w:rFonts w:ascii="Arial" w:hAnsi="Arial" w:cs="Arial"/>
          <w:color w:val="000000"/>
          <w:sz w:val="24"/>
          <w:szCs w:val="24"/>
          <w:lang w:val="en-US"/>
        </w:rPr>
        <w:t xml:space="preserve">minimum </w:t>
      </w:r>
      <w:r w:rsidR="004918FB" w:rsidRPr="00046A8F">
        <w:rPr>
          <w:rFonts w:ascii="Arial" w:hAnsi="Arial" w:cs="Arial"/>
          <w:color w:val="000000"/>
          <w:sz w:val="24"/>
          <w:szCs w:val="24"/>
          <w:lang w:val="en-US"/>
        </w:rPr>
        <w:t>2</w:t>
      </w:r>
      <w:r w:rsidR="00E739D3">
        <w:rPr>
          <w:rFonts w:ascii="Arial" w:hAnsi="Arial" w:cs="Arial"/>
          <w:color w:val="000000"/>
          <w:sz w:val="24"/>
          <w:szCs w:val="24"/>
          <w:lang w:val="en-US"/>
        </w:rPr>
        <w:t>5</w:t>
      </w:r>
      <w:r w:rsidR="004918FB" w:rsidRPr="00046A8F">
        <w:rPr>
          <w:rFonts w:ascii="Arial" w:hAnsi="Arial" w:cs="Arial"/>
          <w:color w:val="000000"/>
          <w:sz w:val="24"/>
          <w:szCs w:val="24"/>
          <w:lang w:val="en-US"/>
        </w:rPr>
        <w:t>%.</w:t>
      </w:r>
      <w:r w:rsidR="004A0A64" w:rsidRPr="00046A8F">
        <w:rPr>
          <w:rFonts w:ascii="Arial" w:hAnsi="Arial" w:cs="Arial"/>
          <w:color w:val="000000"/>
          <w:sz w:val="24"/>
          <w:szCs w:val="24"/>
          <w:lang w:val="en-US"/>
        </w:rPr>
        <w:t xml:space="preserve">   </w:t>
      </w:r>
      <w:r w:rsidR="004918FB" w:rsidRPr="00046A8F">
        <w:rPr>
          <w:rFonts w:ascii="Arial" w:hAnsi="Arial" w:cs="Arial"/>
          <w:color w:val="000000"/>
          <w:sz w:val="24"/>
          <w:szCs w:val="24"/>
          <w:lang w:val="en-US"/>
        </w:rPr>
        <w:t xml:space="preserve"> </w:t>
      </w:r>
    </w:p>
    <w:p w14:paraId="4C1C9247" w14:textId="77777777" w:rsidR="004A0A64" w:rsidRPr="00046A8F" w:rsidRDefault="00D73453" w:rsidP="00283768">
      <w:pPr>
        <w:pStyle w:val="ListParagraph"/>
        <w:numPr>
          <w:ilvl w:val="1"/>
          <w:numId w:val="32"/>
        </w:numPr>
        <w:ind w:left="720"/>
        <w:jc w:val="both"/>
        <w:rPr>
          <w:rFonts w:ascii="Arial" w:hAnsi="Arial" w:cs="Arial"/>
          <w:color w:val="000000"/>
          <w:sz w:val="24"/>
          <w:szCs w:val="24"/>
          <w:lang w:val="en-US"/>
        </w:rPr>
      </w:pPr>
      <w:r w:rsidRPr="00046A8F">
        <w:rPr>
          <w:rFonts w:ascii="Arial" w:hAnsi="Arial" w:cs="Arial"/>
          <w:color w:val="000000"/>
          <w:sz w:val="24"/>
          <w:szCs w:val="24"/>
          <w:lang w:val="en-US"/>
        </w:rPr>
        <w:t xml:space="preserve">In compliance of </w:t>
      </w:r>
      <w:r w:rsidR="001A13E3" w:rsidRPr="00046A8F">
        <w:rPr>
          <w:rFonts w:ascii="Arial" w:hAnsi="Arial" w:cs="Arial"/>
          <w:color w:val="000000"/>
          <w:sz w:val="24"/>
          <w:szCs w:val="24"/>
          <w:lang w:val="en-US"/>
        </w:rPr>
        <w:t>the SEBI guidelines to Large Corporate on raising borrowings through bonds issues, MAFIL shall raise</w:t>
      </w:r>
      <w:r w:rsidR="0067778E" w:rsidRPr="00046A8F">
        <w:rPr>
          <w:rFonts w:ascii="Arial" w:hAnsi="Arial" w:cs="Arial"/>
          <w:color w:val="000000"/>
          <w:sz w:val="24"/>
          <w:szCs w:val="24"/>
          <w:lang w:val="en-US"/>
        </w:rPr>
        <w:t xml:space="preserve"> minimum</w:t>
      </w:r>
      <w:r w:rsidR="001A13E3" w:rsidRPr="00046A8F">
        <w:rPr>
          <w:rFonts w:ascii="Arial" w:hAnsi="Arial" w:cs="Arial"/>
          <w:color w:val="000000"/>
          <w:sz w:val="24"/>
          <w:szCs w:val="24"/>
          <w:lang w:val="en-US"/>
        </w:rPr>
        <w:t xml:space="preserve"> 25% of its</w:t>
      </w:r>
      <w:r w:rsidRPr="00046A8F">
        <w:rPr>
          <w:rFonts w:ascii="Arial" w:hAnsi="Arial" w:cs="Arial"/>
          <w:color w:val="000000"/>
          <w:sz w:val="24"/>
          <w:szCs w:val="24"/>
          <w:lang w:val="en-US"/>
        </w:rPr>
        <w:t xml:space="preserve"> incremental</w:t>
      </w:r>
      <w:r w:rsidR="001A13E3" w:rsidRPr="00046A8F">
        <w:rPr>
          <w:rFonts w:ascii="Arial" w:hAnsi="Arial" w:cs="Arial"/>
          <w:color w:val="000000"/>
          <w:sz w:val="24"/>
          <w:szCs w:val="24"/>
          <w:lang w:val="en-US"/>
        </w:rPr>
        <w:t xml:space="preserve"> borrowings </w:t>
      </w:r>
      <w:r w:rsidRPr="00046A8F">
        <w:rPr>
          <w:rFonts w:ascii="Arial" w:hAnsi="Arial" w:cs="Arial"/>
          <w:color w:val="000000"/>
          <w:sz w:val="24"/>
          <w:szCs w:val="24"/>
          <w:lang w:val="en-US"/>
        </w:rPr>
        <w:t xml:space="preserve">of </w:t>
      </w:r>
      <w:r w:rsidR="001A13E3" w:rsidRPr="00046A8F">
        <w:rPr>
          <w:rFonts w:ascii="Arial" w:hAnsi="Arial" w:cs="Arial"/>
          <w:color w:val="000000"/>
          <w:sz w:val="24"/>
          <w:szCs w:val="24"/>
          <w:lang w:val="en-US"/>
        </w:rPr>
        <w:t xml:space="preserve">above 1 year in the form of NCDs. </w:t>
      </w:r>
    </w:p>
    <w:p w14:paraId="3A5F81E6" w14:textId="6B998760" w:rsidR="008C1A87" w:rsidRPr="008C1A87" w:rsidRDefault="004054ED" w:rsidP="00283768">
      <w:pPr>
        <w:pStyle w:val="ListParagraph"/>
        <w:numPr>
          <w:ilvl w:val="1"/>
          <w:numId w:val="32"/>
        </w:numPr>
        <w:ind w:left="720"/>
        <w:jc w:val="both"/>
        <w:rPr>
          <w:rFonts w:ascii="Arial" w:hAnsi="Arial" w:cs="Arial"/>
          <w:color w:val="000000"/>
          <w:sz w:val="24"/>
          <w:szCs w:val="24"/>
          <w:lang w:val="en-US"/>
        </w:rPr>
      </w:pPr>
      <w:r w:rsidRPr="004054ED">
        <w:rPr>
          <w:rFonts w:ascii="Arial" w:hAnsi="Arial" w:cs="Arial"/>
          <w:color w:val="000000"/>
          <w:sz w:val="24"/>
          <w:szCs w:val="24"/>
          <w:lang w:val="en-US"/>
        </w:rPr>
        <w:t>It is required that borrowings be spread out, and relying on a single lender</w:t>
      </w:r>
      <w:r>
        <w:rPr>
          <w:rFonts w:ascii="Arial" w:hAnsi="Arial" w:cs="Arial"/>
          <w:color w:val="000000"/>
          <w:sz w:val="24"/>
          <w:szCs w:val="24"/>
          <w:lang w:val="en-US"/>
        </w:rPr>
        <w:t xml:space="preserve"> cannot account for more than 20</w:t>
      </w:r>
      <w:r w:rsidRPr="004054ED">
        <w:rPr>
          <w:rFonts w:ascii="Arial" w:hAnsi="Arial" w:cs="Arial"/>
          <w:color w:val="000000"/>
          <w:sz w:val="24"/>
          <w:szCs w:val="24"/>
          <w:lang w:val="en-US"/>
        </w:rPr>
        <w:t>% of the entire amount borrowed.This cap could be adjusted at the FRC's discretion depending on the resources that are available from other lenders and sources.</w:t>
      </w:r>
      <w:r w:rsidR="0067778E" w:rsidRPr="00046A8F">
        <w:rPr>
          <w:rFonts w:ascii="Arial" w:hAnsi="Arial" w:cs="Arial"/>
          <w:color w:val="000000"/>
          <w:sz w:val="24"/>
          <w:szCs w:val="24"/>
          <w:lang w:val="en-US"/>
        </w:rPr>
        <w:t>Share of Commercial Paper (CP) in the tota</w:t>
      </w:r>
      <w:r w:rsidR="00761F76">
        <w:rPr>
          <w:rFonts w:ascii="Arial" w:hAnsi="Arial" w:cs="Arial"/>
          <w:color w:val="000000"/>
          <w:sz w:val="24"/>
          <w:szCs w:val="24"/>
          <w:lang w:val="en-US"/>
        </w:rPr>
        <w:t xml:space="preserve">l borrowings shall not exceed </w:t>
      </w:r>
      <w:r w:rsidR="00172C55" w:rsidRPr="00172C55">
        <w:rPr>
          <w:rFonts w:ascii="Arial" w:hAnsi="Arial" w:cs="Arial"/>
          <w:color w:val="000000" w:themeColor="text1"/>
          <w:sz w:val="24"/>
          <w:szCs w:val="24"/>
          <w:lang w:val="en-US"/>
        </w:rPr>
        <w:t>2</w:t>
      </w:r>
      <w:r w:rsidR="00761F76" w:rsidRPr="00172C55">
        <w:rPr>
          <w:rFonts w:ascii="Arial" w:hAnsi="Arial" w:cs="Arial"/>
          <w:color w:val="000000" w:themeColor="text1"/>
          <w:sz w:val="24"/>
          <w:szCs w:val="24"/>
          <w:lang w:val="en-US"/>
        </w:rPr>
        <w:t>0</w:t>
      </w:r>
      <w:r w:rsidR="0067778E" w:rsidRPr="00172C55">
        <w:rPr>
          <w:rFonts w:ascii="Arial" w:hAnsi="Arial" w:cs="Arial"/>
          <w:color w:val="000000" w:themeColor="text1"/>
          <w:sz w:val="24"/>
          <w:szCs w:val="24"/>
          <w:lang w:val="en-US"/>
        </w:rPr>
        <w:t>%.</w:t>
      </w:r>
    </w:p>
    <w:p w14:paraId="7D0730CA" w14:textId="77777777" w:rsidR="0067778E" w:rsidRPr="00046A8F" w:rsidRDefault="008C1A87" w:rsidP="00283768">
      <w:pPr>
        <w:pStyle w:val="ListParagraph"/>
        <w:numPr>
          <w:ilvl w:val="1"/>
          <w:numId w:val="32"/>
        </w:numPr>
        <w:ind w:left="720"/>
        <w:jc w:val="both"/>
        <w:rPr>
          <w:rFonts w:ascii="Arial" w:hAnsi="Arial" w:cs="Arial"/>
          <w:color w:val="000000"/>
          <w:sz w:val="24"/>
          <w:szCs w:val="24"/>
          <w:lang w:val="en-US"/>
        </w:rPr>
      </w:pPr>
      <w:r w:rsidRPr="004D7805">
        <w:rPr>
          <w:rFonts w:ascii="Arial" w:hAnsi="Arial" w:cs="Arial"/>
          <w:sz w:val="24"/>
          <w:szCs w:val="24"/>
        </w:rPr>
        <w:t>Share of foreign currency borrowing shall not exceed 25% of the total borrowings.</w:t>
      </w:r>
    </w:p>
    <w:p w14:paraId="5A755184" w14:textId="77777777" w:rsidR="00D43DFC" w:rsidRDefault="00D43DFC" w:rsidP="00D43DFC">
      <w:pPr>
        <w:spacing w:after="0" w:line="240" w:lineRule="auto"/>
        <w:ind w:left="360"/>
        <w:rPr>
          <w:rFonts w:ascii="Verdana" w:eastAsia="Times New Roman" w:hAnsi="Verdana" w:cs="Times New Roman"/>
          <w:sz w:val="24"/>
          <w:szCs w:val="24"/>
        </w:rPr>
      </w:pPr>
    </w:p>
    <w:p w14:paraId="6ADD13AE" w14:textId="1F614CFD" w:rsidR="00D43DFC" w:rsidRPr="00D43DFC" w:rsidRDefault="00D43DFC" w:rsidP="00D43DFC">
      <w:pPr>
        <w:spacing w:after="0" w:line="240" w:lineRule="auto"/>
        <w:ind w:left="360"/>
        <w:jc w:val="both"/>
        <w:rPr>
          <w:rFonts w:ascii="Arial" w:eastAsia="Times New Roman" w:hAnsi="Arial" w:cs="Arial"/>
          <w:sz w:val="24"/>
          <w:szCs w:val="24"/>
        </w:rPr>
      </w:pPr>
      <w:r w:rsidRPr="0079746C">
        <w:rPr>
          <w:rFonts w:ascii="Arial" w:eastAsia="Times New Roman" w:hAnsi="Arial" w:cs="Arial"/>
          <w:sz w:val="24"/>
          <w:szCs w:val="24"/>
        </w:rPr>
        <w:t>MAFIL will endeavour to broad base counterparties/lenders with the intention to maintain relationship with lenders and also not to run any centralization risk</w:t>
      </w:r>
    </w:p>
    <w:p w14:paraId="72D345AC" w14:textId="77777777" w:rsidR="00D43DFC" w:rsidRPr="00D43DFC" w:rsidRDefault="00D43DFC" w:rsidP="00D43DFC">
      <w:pPr>
        <w:spacing w:after="0" w:line="240" w:lineRule="auto"/>
        <w:ind w:left="360"/>
        <w:rPr>
          <w:rFonts w:ascii="Verdana" w:eastAsia="Times New Roman" w:hAnsi="Verdana" w:cs="Times New Roman"/>
          <w:sz w:val="24"/>
          <w:szCs w:val="24"/>
        </w:rPr>
      </w:pPr>
    </w:p>
    <w:p w14:paraId="17E7A63A" w14:textId="77777777" w:rsidR="009F143D" w:rsidRDefault="0067778E" w:rsidP="00283768">
      <w:pPr>
        <w:spacing w:line="276" w:lineRule="auto"/>
        <w:ind w:left="270"/>
        <w:jc w:val="both"/>
        <w:rPr>
          <w:rFonts w:ascii="Arial" w:hAnsi="Arial" w:cs="Arial"/>
          <w:color w:val="000000"/>
          <w:sz w:val="24"/>
          <w:szCs w:val="24"/>
          <w:lang w:val="en-US"/>
        </w:rPr>
      </w:pPr>
      <w:r w:rsidRPr="00046A8F">
        <w:rPr>
          <w:rFonts w:ascii="Arial" w:eastAsia="Calibri" w:hAnsi="Arial" w:cs="Arial"/>
          <w:sz w:val="24"/>
          <w:szCs w:val="24"/>
        </w:rPr>
        <w:t xml:space="preserve">Financial Resources and Management Committee of the Board </w:t>
      </w:r>
      <w:r w:rsidRPr="00046A8F">
        <w:rPr>
          <w:rFonts w:ascii="Arial" w:hAnsi="Arial" w:cs="Arial"/>
          <w:color w:val="000000"/>
          <w:sz w:val="24"/>
          <w:szCs w:val="24"/>
          <w:lang w:val="en-US"/>
        </w:rPr>
        <w:t xml:space="preserve">shall have the powers to vary the mix of resources suitable to the market conditions and ALM position. </w:t>
      </w:r>
    </w:p>
    <w:p w14:paraId="622664AE" w14:textId="3F079C3F" w:rsidR="00D43DFC" w:rsidRPr="0079746C" w:rsidRDefault="00D43DFC" w:rsidP="00283768">
      <w:pPr>
        <w:spacing w:line="276" w:lineRule="auto"/>
        <w:ind w:left="270"/>
        <w:jc w:val="both"/>
        <w:rPr>
          <w:rFonts w:ascii="Arial" w:hAnsi="Arial" w:cs="Arial"/>
          <w:b/>
          <w:bCs/>
          <w:sz w:val="24"/>
          <w:szCs w:val="24"/>
          <w:lang w:val="en-US"/>
        </w:rPr>
      </w:pPr>
      <w:r w:rsidRPr="0079746C">
        <w:rPr>
          <w:rFonts w:ascii="Arial" w:hAnsi="Arial" w:cs="Arial"/>
          <w:b/>
          <w:bCs/>
          <w:sz w:val="24"/>
          <w:szCs w:val="24"/>
          <w:lang w:val="en-US"/>
        </w:rPr>
        <w:t xml:space="preserve">6. Management and </w:t>
      </w:r>
      <w:r w:rsidR="00C340C2" w:rsidRPr="0079746C">
        <w:rPr>
          <w:rFonts w:ascii="Arial" w:hAnsi="Arial" w:cs="Arial"/>
          <w:b/>
          <w:bCs/>
          <w:sz w:val="24"/>
          <w:szCs w:val="24"/>
          <w:lang w:val="en-US"/>
        </w:rPr>
        <w:t xml:space="preserve">tracking of financial covenants and other covenants prescribed by the lender / counter parties. </w:t>
      </w:r>
    </w:p>
    <w:p w14:paraId="2201E771" w14:textId="7A89F4FA" w:rsidR="00C340C2" w:rsidRPr="0079746C" w:rsidRDefault="00D169A7" w:rsidP="00283768">
      <w:pPr>
        <w:spacing w:line="276" w:lineRule="auto"/>
        <w:ind w:left="270"/>
        <w:jc w:val="both"/>
        <w:rPr>
          <w:rFonts w:ascii="Arial" w:hAnsi="Arial" w:cs="Arial"/>
          <w:b/>
          <w:bCs/>
          <w:sz w:val="24"/>
          <w:szCs w:val="24"/>
          <w:lang w:val="en-US"/>
        </w:rPr>
      </w:pPr>
      <w:r w:rsidRPr="0079746C">
        <w:rPr>
          <w:rFonts w:ascii="Arial" w:hAnsi="Arial" w:cs="Arial"/>
          <w:b/>
          <w:bCs/>
          <w:sz w:val="24"/>
          <w:szCs w:val="24"/>
          <w:lang w:val="en-US"/>
        </w:rPr>
        <w:t>6.1</w:t>
      </w:r>
      <w:r w:rsidR="00C340C2" w:rsidRPr="0079746C">
        <w:rPr>
          <w:rFonts w:ascii="Arial" w:hAnsi="Arial" w:cs="Arial"/>
          <w:b/>
          <w:bCs/>
          <w:sz w:val="24"/>
          <w:szCs w:val="24"/>
          <w:lang w:val="en-US"/>
        </w:rPr>
        <w:t xml:space="preserve"> Acceptance of sanction letters and draft financing agreements of lenders </w:t>
      </w:r>
    </w:p>
    <w:p w14:paraId="0EA87881" w14:textId="29DB2800" w:rsidR="00C340C2" w:rsidRPr="0079746C" w:rsidRDefault="00C340C2" w:rsidP="00283768">
      <w:pPr>
        <w:spacing w:line="276" w:lineRule="auto"/>
        <w:ind w:left="270"/>
        <w:jc w:val="both"/>
        <w:rPr>
          <w:rFonts w:ascii="Arial" w:hAnsi="Arial" w:cs="Arial"/>
          <w:sz w:val="24"/>
          <w:szCs w:val="24"/>
          <w:lang w:val="en-US"/>
        </w:rPr>
      </w:pPr>
      <w:r w:rsidRPr="0079746C">
        <w:rPr>
          <w:rFonts w:ascii="Arial" w:hAnsi="Arial" w:cs="Arial"/>
          <w:sz w:val="24"/>
          <w:szCs w:val="24"/>
          <w:lang w:val="en-US"/>
        </w:rPr>
        <w:t>Scrutiny of terms and conditions in the sanction letters and draft financing agreements are the primary function of Treasury.  For this purpose</w:t>
      </w:r>
      <w:r w:rsidR="00B40830" w:rsidRPr="0079746C">
        <w:rPr>
          <w:rFonts w:ascii="Arial" w:hAnsi="Arial" w:cs="Arial"/>
          <w:sz w:val="24"/>
          <w:szCs w:val="24"/>
          <w:lang w:val="en-US"/>
        </w:rPr>
        <w:t xml:space="preserve">, </w:t>
      </w:r>
      <w:r w:rsidRPr="0079746C">
        <w:rPr>
          <w:rFonts w:ascii="Arial" w:hAnsi="Arial" w:cs="Arial"/>
          <w:sz w:val="24"/>
          <w:szCs w:val="24"/>
          <w:lang w:val="en-US"/>
        </w:rPr>
        <w:t xml:space="preserve">treasury may form a committee of senior officials of the department and non-acceptable terms and </w:t>
      </w:r>
      <w:r w:rsidRPr="0079746C">
        <w:rPr>
          <w:rFonts w:ascii="Arial" w:hAnsi="Arial" w:cs="Arial"/>
          <w:sz w:val="24"/>
          <w:szCs w:val="24"/>
          <w:lang w:val="en-US"/>
        </w:rPr>
        <w:lastRenderedPageBreak/>
        <w:t xml:space="preserve">conditions should be pointed out to the lenders for </w:t>
      </w:r>
      <w:r w:rsidR="00D169A7" w:rsidRPr="0079746C">
        <w:rPr>
          <w:rFonts w:ascii="Arial" w:hAnsi="Arial" w:cs="Arial"/>
          <w:sz w:val="24"/>
          <w:szCs w:val="24"/>
          <w:lang w:val="en-US"/>
        </w:rPr>
        <w:t>dele</w:t>
      </w:r>
      <w:r w:rsidR="00B40830" w:rsidRPr="0079746C">
        <w:rPr>
          <w:rFonts w:ascii="Arial" w:hAnsi="Arial" w:cs="Arial"/>
          <w:sz w:val="24"/>
          <w:szCs w:val="24"/>
          <w:lang w:val="en-US"/>
        </w:rPr>
        <w:t>tion</w:t>
      </w:r>
      <w:r w:rsidRPr="0079746C">
        <w:rPr>
          <w:rFonts w:ascii="Arial" w:hAnsi="Arial" w:cs="Arial"/>
          <w:sz w:val="24"/>
          <w:szCs w:val="24"/>
          <w:lang w:val="en-US"/>
        </w:rPr>
        <w:t xml:space="preserve"> / amendments.  Illustra</w:t>
      </w:r>
      <w:r w:rsidR="00BB5369" w:rsidRPr="0079746C">
        <w:rPr>
          <w:rFonts w:ascii="Arial" w:hAnsi="Arial" w:cs="Arial"/>
          <w:sz w:val="24"/>
          <w:szCs w:val="24"/>
          <w:lang w:val="en-US"/>
        </w:rPr>
        <w:t xml:space="preserve">tive </w:t>
      </w:r>
      <w:r w:rsidRPr="0079746C">
        <w:rPr>
          <w:rFonts w:ascii="Arial" w:hAnsi="Arial" w:cs="Arial"/>
          <w:sz w:val="24"/>
          <w:szCs w:val="24"/>
          <w:lang w:val="en-US"/>
        </w:rPr>
        <w:t>such covenants are as follows:</w:t>
      </w:r>
    </w:p>
    <w:p w14:paraId="7A269189" w14:textId="52784786"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Minimum Capital adequacy.</w:t>
      </w:r>
    </w:p>
    <w:p w14:paraId="6B5CCC2C" w14:textId="6FB6D96F"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Minimum Tier I Capital.</w:t>
      </w:r>
    </w:p>
    <w:p w14:paraId="54C05CA0" w14:textId="24F5DC6E"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Minimum NOF.</w:t>
      </w:r>
    </w:p>
    <w:p w14:paraId="071624BB" w14:textId="1AAA9249"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Maximum DER.</w:t>
      </w:r>
    </w:p>
    <w:p w14:paraId="70AAA8AC" w14:textId="41AF3BE8"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Maximum Leverage.</w:t>
      </w:r>
    </w:p>
    <w:p w14:paraId="7A99F7C3" w14:textId="471009E8"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Maximum delinquency in %.</w:t>
      </w:r>
    </w:p>
    <w:p w14:paraId="4D58E225" w14:textId="4519593D"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Maximum gross NPA and Net NPA in %.</w:t>
      </w:r>
    </w:p>
    <w:p w14:paraId="78813FE4" w14:textId="79D407F9"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Minimum shareholding of promoters.</w:t>
      </w:r>
    </w:p>
    <w:p w14:paraId="5642D2D1" w14:textId="4395343F"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 xml:space="preserve">Restrictions in borrowing. </w:t>
      </w:r>
    </w:p>
    <w:p w14:paraId="4E022EBA" w14:textId="41DA0A3E"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Restrictions in investments in subsidiaries and others.</w:t>
      </w:r>
    </w:p>
    <w:p w14:paraId="64C7CC0E" w14:textId="20C40904"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Restrictions in starting new businesses.</w:t>
      </w:r>
    </w:p>
    <w:p w14:paraId="1B9AB05A" w14:textId="3EE803E7" w:rsidR="00C340C2" w:rsidRPr="0079746C" w:rsidRDefault="00C340C2"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Acquiring other companies.</w:t>
      </w:r>
    </w:p>
    <w:p w14:paraId="65EA80D1" w14:textId="0D6A1CCB" w:rsidR="00C340C2" w:rsidRPr="0079746C" w:rsidRDefault="00BB5369"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Diversification of business.</w:t>
      </w:r>
    </w:p>
    <w:p w14:paraId="3ADF4EAB" w14:textId="75B5063A" w:rsidR="00BB5369" w:rsidRPr="0079746C" w:rsidRDefault="00BB5369" w:rsidP="00C340C2">
      <w:pPr>
        <w:pStyle w:val="ListParagraph"/>
        <w:numPr>
          <w:ilvl w:val="0"/>
          <w:numId w:val="36"/>
        </w:numPr>
        <w:jc w:val="both"/>
        <w:rPr>
          <w:rFonts w:ascii="Arial" w:hAnsi="Arial" w:cs="Arial"/>
          <w:sz w:val="24"/>
          <w:szCs w:val="24"/>
          <w:lang w:val="en-US"/>
        </w:rPr>
      </w:pPr>
      <w:r w:rsidRPr="0079746C">
        <w:rPr>
          <w:rFonts w:ascii="Arial" w:hAnsi="Arial" w:cs="Arial"/>
          <w:sz w:val="24"/>
          <w:szCs w:val="24"/>
          <w:lang w:val="en-US"/>
        </w:rPr>
        <w:t xml:space="preserve">Restriction on lending to subsidiaries, including pricing. </w:t>
      </w:r>
    </w:p>
    <w:p w14:paraId="645C1590" w14:textId="7A81A25C" w:rsidR="00BB5369" w:rsidRPr="0079746C" w:rsidRDefault="00BB5369" w:rsidP="00BB5369">
      <w:pPr>
        <w:spacing w:line="276" w:lineRule="auto"/>
        <w:ind w:left="270"/>
        <w:jc w:val="both"/>
        <w:rPr>
          <w:rFonts w:ascii="Arial" w:hAnsi="Arial" w:cs="Arial"/>
          <w:sz w:val="24"/>
          <w:szCs w:val="24"/>
          <w:lang w:val="en-US"/>
        </w:rPr>
      </w:pPr>
      <w:r w:rsidRPr="0079746C">
        <w:rPr>
          <w:rFonts w:ascii="Arial" w:hAnsi="Arial" w:cs="Arial"/>
          <w:sz w:val="24"/>
          <w:szCs w:val="24"/>
          <w:lang w:val="en-US"/>
        </w:rPr>
        <w:t xml:space="preserve">If the lenders / counterparties are not accepting any covenants </w:t>
      </w:r>
      <w:r w:rsidR="00B40830" w:rsidRPr="0079746C">
        <w:rPr>
          <w:rFonts w:ascii="Arial" w:hAnsi="Arial" w:cs="Arial"/>
          <w:sz w:val="24"/>
          <w:szCs w:val="24"/>
          <w:lang w:val="en-US"/>
        </w:rPr>
        <w:t>that</w:t>
      </w:r>
      <w:r w:rsidRPr="0079746C">
        <w:rPr>
          <w:rFonts w:ascii="Arial" w:hAnsi="Arial" w:cs="Arial"/>
          <w:sz w:val="24"/>
          <w:szCs w:val="24"/>
          <w:lang w:val="en-US"/>
        </w:rPr>
        <w:t xml:space="preserve"> could be detrimental of our interest, if the Treasury team for exigencies wants to avail of the finance</w:t>
      </w:r>
      <w:r w:rsidR="00B40830" w:rsidRPr="0079746C">
        <w:rPr>
          <w:rFonts w:ascii="Arial" w:hAnsi="Arial" w:cs="Arial"/>
          <w:sz w:val="24"/>
          <w:szCs w:val="24"/>
          <w:lang w:val="en-US"/>
        </w:rPr>
        <w:t xml:space="preserve">, </w:t>
      </w:r>
      <w:r w:rsidRPr="0079746C">
        <w:rPr>
          <w:rFonts w:ascii="Arial" w:hAnsi="Arial" w:cs="Arial"/>
          <w:sz w:val="24"/>
          <w:szCs w:val="24"/>
          <w:lang w:val="en-US"/>
        </w:rPr>
        <w:t xml:space="preserve"> may seek approval for accepting such covenants from MD &amp; CEO with suitable justifications / mitigants.</w:t>
      </w:r>
    </w:p>
    <w:p w14:paraId="062BF78B" w14:textId="38AC8DF0" w:rsidR="00BB5369" w:rsidRPr="0079746C" w:rsidRDefault="00BB5369" w:rsidP="00BB5369">
      <w:pPr>
        <w:spacing w:line="276" w:lineRule="auto"/>
        <w:ind w:left="270"/>
        <w:jc w:val="both"/>
        <w:rPr>
          <w:rFonts w:ascii="Arial" w:hAnsi="Arial" w:cs="Arial"/>
          <w:b/>
          <w:bCs/>
          <w:sz w:val="24"/>
          <w:szCs w:val="24"/>
          <w:lang w:val="en-US"/>
        </w:rPr>
      </w:pPr>
      <w:r w:rsidRPr="0079746C">
        <w:rPr>
          <w:rFonts w:ascii="Arial" w:hAnsi="Arial" w:cs="Arial"/>
          <w:b/>
          <w:bCs/>
          <w:sz w:val="24"/>
          <w:szCs w:val="24"/>
          <w:lang w:val="en-US"/>
        </w:rPr>
        <w:t>6.2 Approving Authority for accepting sanction letters / agreements</w:t>
      </w:r>
    </w:p>
    <w:p w14:paraId="4ECE0D9F" w14:textId="7E340401" w:rsidR="00BB5369" w:rsidRPr="0079746C" w:rsidRDefault="00BB5369" w:rsidP="00BB5369">
      <w:pPr>
        <w:spacing w:line="276" w:lineRule="auto"/>
        <w:ind w:left="270"/>
        <w:jc w:val="both"/>
        <w:rPr>
          <w:rFonts w:ascii="Arial" w:hAnsi="Arial" w:cs="Arial"/>
          <w:sz w:val="24"/>
          <w:szCs w:val="24"/>
          <w:lang w:val="en-US"/>
        </w:rPr>
      </w:pPr>
      <w:r w:rsidRPr="0079746C">
        <w:rPr>
          <w:rFonts w:ascii="Arial" w:hAnsi="Arial" w:cs="Arial"/>
          <w:sz w:val="24"/>
          <w:szCs w:val="24"/>
          <w:lang w:val="en-US"/>
        </w:rPr>
        <w:t>Treasury shall prepare a note for acceptance of the sanction order to a Committee Headed by CFO, in which GM Treasury, Chief Credit Officer and Chief Risk Officer are members.  Any deviations and terms and conditions that may adversely affect the interest of the company should be highlighted in the note.</w:t>
      </w:r>
    </w:p>
    <w:p w14:paraId="2C8A9C4A" w14:textId="5A27DB30" w:rsidR="00BB5369" w:rsidRPr="0079746C" w:rsidRDefault="00BB5369" w:rsidP="00BB5369">
      <w:pPr>
        <w:spacing w:line="276" w:lineRule="auto"/>
        <w:ind w:left="270"/>
        <w:jc w:val="both"/>
        <w:rPr>
          <w:rFonts w:ascii="Arial" w:hAnsi="Arial" w:cs="Arial"/>
          <w:sz w:val="24"/>
          <w:szCs w:val="24"/>
          <w:lang w:val="en-US"/>
        </w:rPr>
      </w:pPr>
      <w:r w:rsidRPr="0079746C">
        <w:rPr>
          <w:rFonts w:ascii="Arial" w:hAnsi="Arial" w:cs="Arial"/>
          <w:sz w:val="24"/>
          <w:szCs w:val="24"/>
          <w:lang w:val="en-US"/>
        </w:rPr>
        <w:t>The draft agreements shall be vetted by Legal Department before execution.</w:t>
      </w:r>
    </w:p>
    <w:p w14:paraId="4610A418" w14:textId="674F0EB2" w:rsidR="00BB5369" w:rsidRPr="0079746C" w:rsidRDefault="00BB5369" w:rsidP="00BB5369">
      <w:pPr>
        <w:spacing w:line="276" w:lineRule="auto"/>
        <w:ind w:left="270"/>
        <w:jc w:val="both"/>
        <w:rPr>
          <w:rFonts w:ascii="Arial" w:hAnsi="Arial" w:cs="Arial"/>
          <w:b/>
          <w:bCs/>
          <w:sz w:val="24"/>
          <w:szCs w:val="24"/>
          <w:lang w:val="en-US"/>
        </w:rPr>
      </w:pPr>
      <w:r w:rsidRPr="0079746C">
        <w:rPr>
          <w:rFonts w:ascii="Arial" w:hAnsi="Arial" w:cs="Arial"/>
          <w:b/>
          <w:bCs/>
          <w:sz w:val="24"/>
          <w:szCs w:val="24"/>
          <w:lang w:val="en-US"/>
        </w:rPr>
        <w:t>6.3  Covenants tracking</w:t>
      </w:r>
    </w:p>
    <w:p w14:paraId="5EF3AEDC" w14:textId="74B43142" w:rsidR="00BB5369" w:rsidRPr="0079746C" w:rsidRDefault="00BB5369" w:rsidP="00BB5369">
      <w:pPr>
        <w:spacing w:line="276" w:lineRule="auto"/>
        <w:ind w:left="270"/>
        <w:jc w:val="both"/>
        <w:rPr>
          <w:rFonts w:ascii="Arial" w:hAnsi="Arial" w:cs="Arial"/>
          <w:sz w:val="24"/>
          <w:szCs w:val="24"/>
          <w:lang w:val="en-US"/>
        </w:rPr>
      </w:pPr>
      <w:r w:rsidRPr="0079746C">
        <w:rPr>
          <w:rFonts w:ascii="Arial" w:hAnsi="Arial" w:cs="Arial"/>
          <w:sz w:val="24"/>
          <w:szCs w:val="24"/>
          <w:lang w:val="en-US"/>
        </w:rPr>
        <w:t xml:space="preserve">Treasury shall maintain a tracker of covenants of all lenders and compliance and deviations shall be presented to ALCO.  </w:t>
      </w:r>
      <w:r w:rsidR="00B40830" w:rsidRPr="0079746C">
        <w:rPr>
          <w:rFonts w:ascii="Arial" w:hAnsi="Arial" w:cs="Arial"/>
          <w:sz w:val="24"/>
          <w:szCs w:val="24"/>
          <w:lang w:val="en-US"/>
        </w:rPr>
        <w:t xml:space="preserve">Deviations, if any shall also be brought to the notice of the Risk Management Department for reporting to Risk Management Committee. </w:t>
      </w:r>
    </w:p>
    <w:p w14:paraId="3FD2B84C" w14:textId="24B0841F" w:rsidR="00B40830" w:rsidRPr="0079746C" w:rsidRDefault="00B40830" w:rsidP="00BB5369">
      <w:pPr>
        <w:spacing w:line="276" w:lineRule="auto"/>
        <w:ind w:left="270"/>
        <w:jc w:val="both"/>
        <w:rPr>
          <w:rFonts w:ascii="Arial" w:hAnsi="Arial" w:cs="Arial"/>
          <w:b/>
          <w:bCs/>
          <w:sz w:val="24"/>
          <w:szCs w:val="24"/>
          <w:lang w:val="en-US"/>
        </w:rPr>
      </w:pPr>
      <w:r w:rsidRPr="0079746C">
        <w:rPr>
          <w:rFonts w:ascii="Arial" w:hAnsi="Arial" w:cs="Arial"/>
          <w:b/>
          <w:bCs/>
          <w:sz w:val="24"/>
          <w:szCs w:val="24"/>
          <w:lang w:val="en-US"/>
        </w:rPr>
        <w:t>6.4 Covenant management</w:t>
      </w:r>
    </w:p>
    <w:p w14:paraId="22C94E2A" w14:textId="5FEA7CA3" w:rsidR="00B40830" w:rsidRPr="0079746C" w:rsidRDefault="00B40830" w:rsidP="00BB5369">
      <w:pPr>
        <w:spacing w:line="276" w:lineRule="auto"/>
        <w:ind w:left="270"/>
        <w:jc w:val="both"/>
        <w:rPr>
          <w:rFonts w:ascii="Arial" w:hAnsi="Arial" w:cs="Arial"/>
          <w:sz w:val="24"/>
          <w:szCs w:val="24"/>
          <w:lang w:val="en-US"/>
        </w:rPr>
      </w:pPr>
      <w:r w:rsidRPr="0079746C">
        <w:rPr>
          <w:rFonts w:ascii="Arial" w:hAnsi="Arial" w:cs="Arial"/>
          <w:sz w:val="24"/>
          <w:szCs w:val="24"/>
          <w:lang w:val="en-US"/>
        </w:rPr>
        <w:t xml:space="preserve">If any potential breaches in covenants are observed, requests for amendments shall be placed to the lenders / counterparties and shall get their approval in advance.  This shall be a continuous process to be followed by the Treasury. </w:t>
      </w:r>
    </w:p>
    <w:p w14:paraId="137F770D" w14:textId="77777777" w:rsidR="00B40830" w:rsidRPr="00B40830" w:rsidRDefault="00BB5369" w:rsidP="00B40830">
      <w:pPr>
        <w:spacing w:line="276" w:lineRule="auto"/>
        <w:ind w:left="270"/>
        <w:jc w:val="both"/>
        <w:rPr>
          <w:rFonts w:ascii="Arial" w:hAnsi="Arial" w:cs="Arial"/>
          <w:b/>
          <w:bCs/>
          <w:sz w:val="24"/>
          <w:szCs w:val="24"/>
          <w:lang w:val="en-US"/>
        </w:rPr>
      </w:pPr>
      <w:r>
        <w:rPr>
          <w:rFonts w:ascii="Arial" w:hAnsi="Arial" w:cs="Arial"/>
          <w:color w:val="000000"/>
          <w:sz w:val="24"/>
          <w:szCs w:val="24"/>
          <w:lang w:val="en-US"/>
        </w:rPr>
        <w:t xml:space="preserve"> </w:t>
      </w:r>
    </w:p>
    <w:p w14:paraId="465ED1CD" w14:textId="776B922E" w:rsidR="00D73453" w:rsidRPr="00B40830" w:rsidRDefault="00B40830" w:rsidP="00B40830">
      <w:pPr>
        <w:spacing w:line="276" w:lineRule="auto"/>
        <w:ind w:left="270"/>
        <w:jc w:val="both"/>
        <w:rPr>
          <w:rFonts w:ascii="Arial" w:eastAsia="Calibri" w:hAnsi="Arial" w:cs="Arial"/>
          <w:b/>
          <w:bCs/>
          <w:sz w:val="24"/>
          <w:szCs w:val="24"/>
        </w:rPr>
      </w:pPr>
      <w:bookmarkStart w:id="9" w:name="_Toc45205834"/>
      <w:r w:rsidRPr="00B40830">
        <w:rPr>
          <w:rFonts w:ascii="Arial" w:eastAsia="Calibri" w:hAnsi="Arial" w:cs="Arial"/>
          <w:b/>
          <w:bCs/>
          <w:sz w:val="24"/>
          <w:szCs w:val="24"/>
        </w:rPr>
        <w:lastRenderedPageBreak/>
        <w:t xml:space="preserve">7. </w:t>
      </w:r>
      <w:r w:rsidR="004215B3" w:rsidRPr="00B40830">
        <w:rPr>
          <w:rFonts w:ascii="Arial" w:eastAsia="Calibri" w:hAnsi="Arial" w:cs="Arial"/>
          <w:b/>
          <w:bCs/>
          <w:sz w:val="24"/>
          <w:szCs w:val="24"/>
        </w:rPr>
        <w:t xml:space="preserve"> </w:t>
      </w:r>
      <w:r w:rsidR="006F4DB5" w:rsidRPr="00B40830">
        <w:rPr>
          <w:rFonts w:ascii="Arial" w:eastAsia="Calibri" w:hAnsi="Arial" w:cs="Arial"/>
          <w:b/>
          <w:bCs/>
          <w:sz w:val="24"/>
          <w:szCs w:val="24"/>
        </w:rPr>
        <w:t>Validity of the policy</w:t>
      </w:r>
      <w:bookmarkEnd w:id="9"/>
    </w:p>
    <w:p w14:paraId="3EA391BF" w14:textId="77777777" w:rsidR="006F4DB5" w:rsidRPr="00046A8F" w:rsidRDefault="005F548F" w:rsidP="00283768">
      <w:pPr>
        <w:pStyle w:val="NormalWeb"/>
        <w:numPr>
          <w:ilvl w:val="0"/>
          <w:numId w:val="33"/>
        </w:numPr>
        <w:spacing w:line="276" w:lineRule="auto"/>
        <w:ind w:left="630"/>
        <w:rPr>
          <w:rFonts w:ascii="Arial" w:hAnsi="Arial" w:cs="Arial"/>
        </w:rPr>
      </w:pPr>
      <w:r w:rsidRPr="00046A8F">
        <w:rPr>
          <w:rFonts w:ascii="Arial" w:hAnsi="Arial" w:cs="Arial"/>
        </w:rPr>
        <w:t>The policy shall be guiding document for resource planning and shall be reviewed every year.</w:t>
      </w:r>
    </w:p>
    <w:p w14:paraId="241B11EC" w14:textId="77777777" w:rsidR="00184FCD" w:rsidRPr="00280A51" w:rsidRDefault="005F548F" w:rsidP="00283768">
      <w:pPr>
        <w:pStyle w:val="NormalWeb"/>
        <w:numPr>
          <w:ilvl w:val="0"/>
          <w:numId w:val="33"/>
        </w:numPr>
        <w:spacing w:line="276" w:lineRule="auto"/>
        <w:ind w:left="630"/>
        <w:rPr>
          <w:rFonts w:ascii="Arial" w:hAnsi="Arial" w:cs="Arial"/>
        </w:rPr>
      </w:pPr>
      <w:r w:rsidRPr="00046A8F">
        <w:rPr>
          <w:rFonts w:ascii="Arial" w:hAnsi="Arial" w:cs="Arial"/>
        </w:rPr>
        <w:t>This policy is subject to changes in accordance with guidelines, directions issued by Reserve Bank of India</w:t>
      </w:r>
      <w:r w:rsidR="009F143D" w:rsidRPr="00046A8F">
        <w:rPr>
          <w:rFonts w:ascii="Arial" w:hAnsi="Arial" w:cs="Arial"/>
        </w:rPr>
        <w:t>, MAFIL’s</w:t>
      </w:r>
      <w:r w:rsidR="005B129D" w:rsidRPr="00046A8F">
        <w:rPr>
          <w:rFonts w:ascii="Arial" w:hAnsi="Arial" w:cs="Arial"/>
        </w:rPr>
        <w:t xml:space="preserve"> </w:t>
      </w:r>
      <w:r w:rsidR="005B129D" w:rsidRPr="00046A8F">
        <w:rPr>
          <w:rFonts w:ascii="Arial" w:eastAsia="Calibri" w:hAnsi="Arial" w:cs="Arial"/>
        </w:rPr>
        <w:t xml:space="preserve">Financial Resources and Management </w:t>
      </w:r>
      <w:r w:rsidR="009F143D" w:rsidRPr="00046A8F">
        <w:rPr>
          <w:rFonts w:ascii="Arial" w:eastAsia="Calibri" w:hAnsi="Arial" w:cs="Arial"/>
        </w:rPr>
        <w:t xml:space="preserve">Committee </w:t>
      </w:r>
      <w:r w:rsidR="009F143D" w:rsidRPr="00046A8F">
        <w:rPr>
          <w:rFonts w:ascii="Arial" w:hAnsi="Arial" w:cs="Arial"/>
        </w:rPr>
        <w:t>and</w:t>
      </w:r>
      <w:r w:rsidR="00EA1B90" w:rsidRPr="00046A8F">
        <w:rPr>
          <w:rFonts w:ascii="Arial" w:hAnsi="Arial" w:cs="Arial"/>
        </w:rPr>
        <w:t xml:space="preserve"> the </w:t>
      </w:r>
      <w:r w:rsidRPr="00046A8F">
        <w:rPr>
          <w:rFonts w:ascii="Arial" w:hAnsi="Arial" w:cs="Arial"/>
        </w:rPr>
        <w:t>Board.</w:t>
      </w:r>
    </w:p>
    <w:sectPr w:rsidR="00184FCD" w:rsidRPr="00280A51" w:rsidSect="00C114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7C46B" w14:textId="77777777" w:rsidR="001F07E4" w:rsidRDefault="001F07E4" w:rsidP="00711CDC">
      <w:pPr>
        <w:spacing w:after="0" w:line="240" w:lineRule="auto"/>
      </w:pPr>
      <w:r>
        <w:separator/>
      </w:r>
    </w:p>
  </w:endnote>
  <w:endnote w:type="continuationSeparator" w:id="0">
    <w:p w14:paraId="49B7E53D" w14:textId="77777777" w:rsidR="001F07E4" w:rsidRDefault="001F07E4" w:rsidP="0071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w:altName w:val="Corbel"/>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CE5A" w14:textId="77777777" w:rsidR="00545444" w:rsidRDefault="00545444">
    <w:pPr>
      <w:pStyle w:val="Footer"/>
    </w:pPr>
  </w:p>
  <w:p w14:paraId="175F4EC8" w14:textId="77777777" w:rsidR="00545444" w:rsidRDefault="005454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425161"/>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3659B179" w14:textId="070E3693" w:rsidR="00545444" w:rsidRPr="00711CDC" w:rsidRDefault="00545444" w:rsidP="00711CDC">
            <w:pPr>
              <w:pStyle w:val="Footer"/>
              <w:shd w:val="clear" w:color="auto" w:fill="ED1313"/>
              <w:rPr>
                <w:sz w:val="18"/>
                <w:szCs w:val="18"/>
              </w:rPr>
            </w:pPr>
            <w:r>
              <w:rPr>
                <w:noProof/>
                <w:lang w:eastAsia="en-IN"/>
              </w:rPr>
              <mc:AlternateContent>
                <mc:Choice Requires="wps">
                  <w:drawing>
                    <wp:anchor distT="45720" distB="45720" distL="114300" distR="114300" simplePos="0" relativeHeight="251661312" behindDoc="0" locked="0" layoutInCell="1" allowOverlap="1" wp14:anchorId="2E0B824E" wp14:editId="0A92BEB5">
                      <wp:simplePos x="0" y="0"/>
                      <wp:positionH relativeFrom="column">
                        <wp:posOffset>3273425</wp:posOffset>
                      </wp:positionH>
                      <wp:positionV relativeFrom="paragraph">
                        <wp:posOffset>-43180</wp:posOffset>
                      </wp:positionV>
                      <wp:extent cx="2486660" cy="4908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3F572880" w14:textId="77777777" w:rsidR="00545444" w:rsidRPr="005D76F8" w:rsidRDefault="00545444" w:rsidP="00711CDC">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0DB98A7F" w14:textId="77777777" w:rsidR="00545444" w:rsidRPr="005D76F8" w:rsidRDefault="00545444" w:rsidP="00711CDC">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sidR="00582293">
                                    <w:rPr>
                                      <w:rFonts w:ascii="Calibri Light" w:hAnsi="Calibri Light" w:cs="Times New Roman"/>
                                      <w:b/>
                                      <w:color w:val="595959"/>
                                      <w:sz w:val="18"/>
                                    </w:rPr>
                                    <w:t>2</w:t>
                                  </w:r>
                                  <w:r>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0B824E" id="_x0000_t202" coordsize="21600,21600" o:spt="202" path="m,l,21600r21600,l21600,xe">
                      <v:stroke joinstyle="miter"/>
                      <v:path gradientshapeok="t" o:connecttype="rect"/>
                    </v:shapetype>
                    <v:shape id="_x0000_s1027" type="#_x0000_t202" style="position:absolute;margin-left:257.75pt;margin-top:-3.4pt;width:195.8pt;height:3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" stroked="f">
                      <v:textbox>
                        <w:txbxContent>
                          <w:p w14:paraId="3F572880" w14:textId="77777777" w:rsidR="00545444" w:rsidRPr="005D76F8" w:rsidRDefault="00545444" w:rsidP="00711CDC">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0DB98A7F" w14:textId="77777777" w:rsidR="00545444" w:rsidRPr="005D76F8" w:rsidRDefault="00545444" w:rsidP="00711CDC">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sidR="00582293">
                              <w:rPr>
                                <w:rFonts w:ascii="Calibri Light" w:hAnsi="Calibri Light" w:cs="Times New Roman"/>
                                <w:b/>
                                <w:color w:val="595959"/>
                                <w:sz w:val="18"/>
                              </w:rPr>
                              <w:t>2</w:t>
                            </w:r>
                            <w:r>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v:textbox>
                      <w10:wrap type="square"/>
                    </v:shape>
                  </w:pict>
                </mc:Fallback>
              </mc:AlternateContent>
            </w:r>
            <w:r w:rsidRPr="00711CDC">
              <w:rPr>
                <w:b/>
                <w:color w:val="FFFFFF" w:themeColor="background1"/>
                <w:sz w:val="18"/>
                <w:szCs w:val="18"/>
              </w:rPr>
              <w:t xml:space="preserve">Page </w:t>
            </w:r>
            <w:r w:rsidRPr="00711CDC">
              <w:rPr>
                <w:b/>
                <w:color w:val="FFFFFF" w:themeColor="background1"/>
                <w:sz w:val="18"/>
                <w:szCs w:val="18"/>
              </w:rPr>
              <w:fldChar w:fldCharType="begin"/>
            </w:r>
            <w:r w:rsidRPr="00711CDC">
              <w:rPr>
                <w:b/>
                <w:color w:val="FFFFFF" w:themeColor="background1"/>
                <w:sz w:val="18"/>
                <w:szCs w:val="18"/>
              </w:rPr>
              <w:instrText xml:space="preserve"> PAGE </w:instrText>
            </w:r>
            <w:r w:rsidRPr="00711CDC">
              <w:rPr>
                <w:b/>
                <w:color w:val="FFFFFF" w:themeColor="background1"/>
                <w:sz w:val="18"/>
                <w:szCs w:val="18"/>
              </w:rPr>
              <w:fldChar w:fldCharType="separate"/>
            </w:r>
            <w:r w:rsidR="006A38DE">
              <w:rPr>
                <w:b/>
                <w:noProof/>
                <w:color w:val="FFFFFF" w:themeColor="background1"/>
                <w:sz w:val="18"/>
                <w:szCs w:val="18"/>
              </w:rPr>
              <w:t>1</w:t>
            </w:r>
            <w:r w:rsidRPr="00711CDC">
              <w:rPr>
                <w:b/>
                <w:color w:val="FFFFFF" w:themeColor="background1"/>
                <w:sz w:val="18"/>
                <w:szCs w:val="18"/>
              </w:rPr>
              <w:fldChar w:fldCharType="end"/>
            </w:r>
            <w:r w:rsidRPr="00711CDC">
              <w:rPr>
                <w:b/>
                <w:color w:val="FFFFFF" w:themeColor="background1"/>
                <w:sz w:val="18"/>
                <w:szCs w:val="18"/>
              </w:rPr>
              <w:t xml:space="preserve"> of </w:t>
            </w:r>
            <w:r w:rsidRPr="00711CDC">
              <w:rPr>
                <w:b/>
                <w:color w:val="FFFFFF" w:themeColor="background1"/>
                <w:sz w:val="18"/>
                <w:szCs w:val="18"/>
              </w:rPr>
              <w:fldChar w:fldCharType="begin"/>
            </w:r>
            <w:r w:rsidRPr="00711CDC">
              <w:rPr>
                <w:b/>
                <w:color w:val="FFFFFF" w:themeColor="background1"/>
                <w:sz w:val="18"/>
                <w:szCs w:val="18"/>
              </w:rPr>
              <w:instrText xml:space="preserve"> NUMPAGES  </w:instrText>
            </w:r>
            <w:r w:rsidRPr="00711CDC">
              <w:rPr>
                <w:b/>
                <w:color w:val="FFFFFF" w:themeColor="background1"/>
                <w:sz w:val="18"/>
                <w:szCs w:val="18"/>
              </w:rPr>
              <w:fldChar w:fldCharType="separate"/>
            </w:r>
            <w:r w:rsidR="006A38DE">
              <w:rPr>
                <w:b/>
                <w:noProof/>
                <w:color w:val="FFFFFF" w:themeColor="background1"/>
                <w:sz w:val="18"/>
                <w:szCs w:val="18"/>
              </w:rPr>
              <w:t>8</w:t>
            </w:r>
            <w:r w:rsidRPr="00711CDC">
              <w:rPr>
                <w:b/>
                <w:color w:val="FFFFFF" w:themeColor="background1"/>
                <w:sz w:val="18"/>
                <w:szCs w:val="18"/>
              </w:rPr>
              <w:fldChar w:fldCharType="end"/>
            </w:r>
          </w:p>
        </w:sdtContent>
      </w:sdt>
    </w:sdtContent>
  </w:sdt>
  <w:p w14:paraId="29FA4EF1" w14:textId="77777777" w:rsidR="00545444" w:rsidRDefault="00545444">
    <w:pPr>
      <w:pStyle w:val="Footer"/>
    </w:pPr>
  </w:p>
  <w:p w14:paraId="02B3412E" w14:textId="77777777" w:rsidR="00545444" w:rsidRDefault="0054544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107E" w14:textId="77777777" w:rsidR="00582293" w:rsidRDefault="0058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657F" w14:textId="77777777" w:rsidR="001F07E4" w:rsidRDefault="001F07E4" w:rsidP="00711CDC">
      <w:pPr>
        <w:spacing w:after="0" w:line="240" w:lineRule="auto"/>
      </w:pPr>
      <w:r>
        <w:separator/>
      </w:r>
    </w:p>
  </w:footnote>
  <w:footnote w:type="continuationSeparator" w:id="0">
    <w:p w14:paraId="03232C29" w14:textId="77777777" w:rsidR="001F07E4" w:rsidRDefault="001F07E4" w:rsidP="0071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FA29" w14:textId="77777777" w:rsidR="00545444" w:rsidRDefault="00545444">
    <w:pPr>
      <w:pStyle w:val="Header"/>
    </w:pPr>
  </w:p>
  <w:p w14:paraId="1A23CDF7" w14:textId="77777777" w:rsidR="00545444" w:rsidRDefault="005454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EE87" w14:textId="77777777" w:rsidR="00545444" w:rsidRDefault="00545444">
    <w:pPr>
      <w:pStyle w:val="Header"/>
    </w:pPr>
    <w:r>
      <w:rPr>
        <w:noProof/>
        <w:lang w:val="en-IN" w:eastAsia="en-IN"/>
      </w:rPr>
      <mc:AlternateContent>
        <mc:Choice Requires="wps">
          <w:drawing>
            <wp:anchor distT="0" distB="0" distL="114300" distR="114300" simplePos="0" relativeHeight="251668480" behindDoc="1" locked="0" layoutInCell="1" allowOverlap="1" wp14:anchorId="456EA56E" wp14:editId="40CD33D8">
              <wp:simplePos x="0" y="0"/>
              <wp:positionH relativeFrom="column">
                <wp:posOffset>2952750</wp:posOffset>
              </wp:positionH>
              <wp:positionV relativeFrom="page">
                <wp:posOffset>219075</wp:posOffset>
              </wp:positionV>
              <wp:extent cx="2932430" cy="490855"/>
              <wp:effectExtent l="0" t="0" r="0" b="0"/>
              <wp:wrapThrough wrapText="bothSides">
                <wp:wrapPolygon edited="0">
                  <wp:start x="0" y="0"/>
                  <wp:lineTo x="0" y="20957"/>
                  <wp:lineTo x="21469" y="20957"/>
                  <wp:lineTo x="21469"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90855"/>
                      </a:xfrm>
                      <a:prstGeom prst="rect">
                        <a:avLst/>
                      </a:prstGeom>
                      <a:solidFill>
                        <a:srgbClr val="FFFFFF"/>
                      </a:solidFill>
                      <a:ln w="9525">
                        <a:noFill/>
                        <a:miter lim="800000"/>
                        <a:headEnd/>
                        <a:tailEnd/>
                      </a:ln>
                    </wps:spPr>
                    <wps:txbx>
                      <w:txbxContent>
                        <w:p w14:paraId="3AAAED76" w14:textId="77777777" w:rsidR="00545444" w:rsidRPr="005D76F8" w:rsidRDefault="00545444" w:rsidP="00711CDC">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Mana</w:t>
                          </w:r>
                          <w:r>
                            <w:rPr>
                              <w:rFonts w:ascii="Calibri" w:hAnsi="Calibri" w:cs="Times New Roman"/>
                              <w:b/>
                              <w:color w:val="595959"/>
                              <w:sz w:val="18"/>
                            </w:rPr>
                            <w:t>p</w:t>
                          </w:r>
                          <w:r w:rsidRPr="005D76F8">
                            <w:rPr>
                              <w:rFonts w:ascii="Calibri" w:hAnsi="Calibri" w:cs="Times New Roman"/>
                              <w:b/>
                              <w:color w:val="595959"/>
                              <w:sz w:val="18"/>
                            </w:rPr>
                            <w:t xml:space="preserve">puram Finance Limited </w:t>
                          </w:r>
                        </w:p>
                        <w:p w14:paraId="4A649B30" w14:textId="77777777" w:rsidR="00545444" w:rsidRPr="005D76F8" w:rsidRDefault="00545444" w:rsidP="00711CDC">
                          <w:pPr>
                            <w:spacing w:after="0" w:line="240" w:lineRule="auto"/>
                            <w:jc w:val="right"/>
                            <w:rPr>
                              <w:rFonts w:ascii="Calibri" w:hAnsi="Calibri" w:cs="Times New Roman"/>
                              <w:b/>
                              <w:color w:val="595959"/>
                              <w:sz w:val="18"/>
                            </w:rPr>
                          </w:pPr>
                          <w:r>
                            <w:rPr>
                              <w:rFonts w:ascii="Calibri" w:hAnsi="Calibri" w:cs="Times New Roman"/>
                              <w:b/>
                              <w:color w:val="595959"/>
                              <w:sz w:val="18"/>
                            </w:rPr>
                            <w:t xml:space="preserve">Policy </w:t>
                          </w:r>
                          <w:r w:rsidR="009B1195">
                            <w:rPr>
                              <w:rFonts w:ascii="Calibri" w:hAnsi="Calibri" w:cs="Times New Roman"/>
                              <w:b/>
                              <w:color w:val="595959"/>
                              <w:sz w:val="18"/>
                            </w:rPr>
                            <w:t xml:space="preserve">on </w:t>
                          </w:r>
                          <w:r>
                            <w:rPr>
                              <w:rFonts w:ascii="Calibri" w:hAnsi="Calibri" w:cs="Times New Roman"/>
                              <w:b/>
                              <w:color w:val="595959"/>
                              <w:sz w:val="18"/>
                            </w:rPr>
                            <w:t xml:space="preserve"> Resource Planning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EA56E" id="_x0000_t202" coordsize="21600,21600" o:spt="202" path="m,l,21600r21600,l21600,xe">
              <v:stroke joinstyle="miter"/>
              <v:path gradientshapeok="t" o:connecttype="rect"/>
            </v:shapetype>
            <v:shape id="Text Box 2" o:spid="_x0000_s1026" type="#_x0000_t202" style="position:absolute;margin-left:232.5pt;margin-top:17.25pt;width:230.9pt;height:3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" stroked="f">
              <v:textbox>
                <w:txbxContent>
                  <w:p w14:paraId="3AAAED76" w14:textId="77777777" w:rsidR="00545444" w:rsidRPr="005D76F8" w:rsidRDefault="00545444" w:rsidP="00711CDC">
                    <w:pPr>
                      <w:spacing w:after="0" w:line="240" w:lineRule="auto"/>
                      <w:jc w:val="right"/>
                      <w:rPr>
                        <w:rFonts w:ascii="Calibri" w:hAnsi="Calibri" w:cs="Times New Roman"/>
                        <w:b/>
                        <w:color w:val="595959"/>
                        <w:sz w:val="18"/>
                      </w:rPr>
                    </w:pPr>
                    <w:proofErr w:type="spellStart"/>
                    <w:r w:rsidRPr="005D76F8">
                      <w:rPr>
                        <w:rFonts w:ascii="Calibri" w:hAnsi="Calibri" w:cs="Times New Roman"/>
                        <w:b/>
                        <w:color w:val="595959"/>
                        <w:sz w:val="18"/>
                      </w:rPr>
                      <w:t>Mana</w:t>
                    </w:r>
                    <w:r>
                      <w:rPr>
                        <w:rFonts w:ascii="Calibri" w:hAnsi="Calibri" w:cs="Times New Roman"/>
                        <w:b/>
                        <w:color w:val="595959"/>
                        <w:sz w:val="18"/>
                      </w:rPr>
                      <w:t>p</w:t>
                    </w:r>
                    <w:r w:rsidRPr="005D76F8">
                      <w:rPr>
                        <w:rFonts w:ascii="Calibri" w:hAnsi="Calibri" w:cs="Times New Roman"/>
                        <w:b/>
                        <w:color w:val="595959"/>
                        <w:sz w:val="18"/>
                      </w:rPr>
                      <w:t>puram</w:t>
                    </w:r>
                    <w:proofErr w:type="spellEnd"/>
                    <w:r w:rsidRPr="005D76F8">
                      <w:rPr>
                        <w:rFonts w:ascii="Calibri" w:hAnsi="Calibri" w:cs="Times New Roman"/>
                        <w:b/>
                        <w:color w:val="595959"/>
                        <w:sz w:val="18"/>
                      </w:rPr>
                      <w:t xml:space="preserve"> Finance Limited </w:t>
                    </w:r>
                  </w:p>
                  <w:p w14:paraId="4A649B30" w14:textId="77777777" w:rsidR="00545444" w:rsidRPr="005D76F8" w:rsidRDefault="00545444" w:rsidP="00711CDC">
                    <w:pPr>
                      <w:spacing w:after="0" w:line="240" w:lineRule="auto"/>
                      <w:jc w:val="right"/>
                      <w:rPr>
                        <w:rFonts w:ascii="Calibri" w:hAnsi="Calibri" w:cs="Times New Roman"/>
                        <w:b/>
                        <w:color w:val="595959"/>
                        <w:sz w:val="18"/>
                      </w:rPr>
                    </w:pPr>
                    <w:r>
                      <w:rPr>
                        <w:rFonts w:ascii="Calibri" w:hAnsi="Calibri" w:cs="Times New Roman"/>
                        <w:b/>
                        <w:color w:val="595959"/>
                        <w:sz w:val="18"/>
                      </w:rPr>
                      <w:t xml:space="preserve">Policy </w:t>
                    </w:r>
                    <w:proofErr w:type="gramStart"/>
                    <w:r w:rsidR="009B1195">
                      <w:rPr>
                        <w:rFonts w:ascii="Calibri" w:hAnsi="Calibri" w:cs="Times New Roman"/>
                        <w:b/>
                        <w:color w:val="595959"/>
                        <w:sz w:val="18"/>
                      </w:rPr>
                      <w:t xml:space="preserve">on </w:t>
                    </w:r>
                    <w:r>
                      <w:rPr>
                        <w:rFonts w:ascii="Calibri" w:hAnsi="Calibri" w:cs="Times New Roman"/>
                        <w:b/>
                        <w:color w:val="595959"/>
                        <w:sz w:val="18"/>
                      </w:rPr>
                      <w:t xml:space="preserve"> Resource</w:t>
                    </w:r>
                    <w:proofErr w:type="gramEnd"/>
                    <w:r>
                      <w:rPr>
                        <w:rFonts w:ascii="Calibri" w:hAnsi="Calibri" w:cs="Times New Roman"/>
                        <w:b/>
                        <w:color w:val="595959"/>
                        <w:sz w:val="18"/>
                      </w:rPr>
                      <w:t xml:space="preserve"> Planning</w:t>
                    </w:r>
                  </w:p>
                </w:txbxContent>
              </v:textbox>
              <w10:wrap type="through" anchory="page"/>
            </v:shape>
          </w:pict>
        </mc:Fallback>
      </mc:AlternateContent>
    </w:r>
    <w:r>
      <w:rPr>
        <w:noProof/>
        <w:lang w:val="en-IN" w:eastAsia="en-IN"/>
      </w:rPr>
      <w:drawing>
        <wp:anchor distT="0" distB="0" distL="114300" distR="114300" simplePos="0" relativeHeight="251659264" behindDoc="0" locked="0" layoutInCell="1" allowOverlap="1" wp14:anchorId="1B4AB8DE" wp14:editId="1CA2D67F">
          <wp:simplePos x="0" y="0"/>
          <wp:positionH relativeFrom="margin">
            <wp:posOffset>-9525</wp:posOffset>
          </wp:positionH>
          <wp:positionV relativeFrom="margin">
            <wp:posOffset>-740410</wp:posOffset>
          </wp:positionV>
          <wp:extent cx="1171575" cy="361950"/>
          <wp:effectExtent l="19050" t="0" r="9525" b="0"/>
          <wp:wrapSquare wrapText="bothSides"/>
          <wp:docPr id="1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14:paraId="34DF97C5" w14:textId="77777777" w:rsidR="00545444" w:rsidRDefault="00545444">
    <w:pPr>
      <w:pStyle w:val="Header"/>
    </w:pP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545444" w14:paraId="4A9764E4" w14:textId="77777777" w:rsidTr="00E6355F">
      <w:trPr>
        <w:trHeight w:val="83"/>
      </w:trPr>
      <w:tc>
        <w:tcPr>
          <w:tcW w:w="4645" w:type="dxa"/>
          <w:shd w:val="clear" w:color="auto" w:fill="ED1313"/>
        </w:tcPr>
        <w:p w14:paraId="00CE3B89" w14:textId="77777777" w:rsidR="00545444" w:rsidRPr="00FD5436" w:rsidRDefault="00545444" w:rsidP="00E6355F">
          <w:pPr>
            <w:rPr>
              <w:sz w:val="2"/>
              <w:szCs w:val="2"/>
            </w:rPr>
          </w:pPr>
        </w:p>
      </w:tc>
      <w:tc>
        <w:tcPr>
          <w:tcW w:w="4645" w:type="dxa"/>
          <w:shd w:val="clear" w:color="auto" w:fill="FFCF01"/>
        </w:tcPr>
        <w:p w14:paraId="02CE9784" w14:textId="77777777" w:rsidR="00545444" w:rsidRPr="00FD5436" w:rsidRDefault="00545444" w:rsidP="00E6355F">
          <w:pPr>
            <w:rPr>
              <w:sz w:val="2"/>
              <w:szCs w:val="2"/>
            </w:rPr>
          </w:pPr>
        </w:p>
      </w:tc>
    </w:tr>
  </w:tbl>
  <w:p w14:paraId="2D065E2C" w14:textId="77777777" w:rsidR="00545444" w:rsidRDefault="00545444">
    <w:pPr>
      <w:pStyle w:val="Header"/>
    </w:pPr>
  </w:p>
  <w:p w14:paraId="68579952" w14:textId="77777777" w:rsidR="00545444" w:rsidRDefault="0054544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B837" w14:textId="77777777" w:rsidR="00545444" w:rsidRDefault="0054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952"/>
    <w:multiLevelType w:val="hybridMultilevel"/>
    <w:tmpl w:val="B950A514"/>
    <w:lvl w:ilvl="0" w:tplc="6666F3B6">
      <w:start w:val="1"/>
      <w:numFmt w:val="upperLetter"/>
      <w:lvlText w:val="%1"/>
      <w:lvlJc w:val="left"/>
    </w:lvl>
    <w:lvl w:ilvl="1" w:tplc="306616C2">
      <w:start w:val="1"/>
      <w:numFmt w:val="decimal"/>
      <w:lvlText w:val="%2."/>
      <w:lvlJc w:val="left"/>
    </w:lvl>
    <w:lvl w:ilvl="2" w:tplc="9820700C">
      <w:start w:val="1"/>
      <w:numFmt w:val="upperLetter"/>
      <w:lvlText w:val="%3"/>
      <w:lvlJc w:val="left"/>
    </w:lvl>
    <w:lvl w:ilvl="3" w:tplc="05109F7C">
      <w:numFmt w:val="decimal"/>
      <w:lvlText w:val=""/>
      <w:lvlJc w:val="left"/>
    </w:lvl>
    <w:lvl w:ilvl="4" w:tplc="D352821C">
      <w:numFmt w:val="decimal"/>
      <w:lvlText w:val=""/>
      <w:lvlJc w:val="left"/>
    </w:lvl>
    <w:lvl w:ilvl="5" w:tplc="E0A6DEFE">
      <w:numFmt w:val="decimal"/>
      <w:lvlText w:val=""/>
      <w:lvlJc w:val="left"/>
    </w:lvl>
    <w:lvl w:ilvl="6" w:tplc="3274FCBE">
      <w:numFmt w:val="decimal"/>
      <w:lvlText w:val=""/>
      <w:lvlJc w:val="left"/>
    </w:lvl>
    <w:lvl w:ilvl="7" w:tplc="B754BFBC">
      <w:numFmt w:val="decimal"/>
      <w:lvlText w:val=""/>
      <w:lvlJc w:val="left"/>
    </w:lvl>
    <w:lvl w:ilvl="8" w:tplc="44F4CC78">
      <w:numFmt w:val="decimal"/>
      <w:lvlText w:val=""/>
      <w:lvlJc w:val="left"/>
    </w:lvl>
  </w:abstractNum>
  <w:abstractNum w:abstractNumId="1" w15:restartNumberingAfterBreak="0">
    <w:nsid w:val="007668EB"/>
    <w:multiLevelType w:val="hybridMultilevel"/>
    <w:tmpl w:val="B0A64F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92858"/>
    <w:multiLevelType w:val="hybridMultilevel"/>
    <w:tmpl w:val="3D868CE2"/>
    <w:lvl w:ilvl="0" w:tplc="EA6A7CC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30B5921"/>
    <w:multiLevelType w:val="hybridMultilevel"/>
    <w:tmpl w:val="442CB2D4"/>
    <w:lvl w:ilvl="0" w:tplc="824C15C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3F875E3"/>
    <w:multiLevelType w:val="hybridMultilevel"/>
    <w:tmpl w:val="1F72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B10BB"/>
    <w:multiLevelType w:val="hybridMultilevel"/>
    <w:tmpl w:val="5BF076F8"/>
    <w:lvl w:ilvl="0" w:tplc="49EA100E">
      <w:start w:val="5"/>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0D925418"/>
    <w:multiLevelType w:val="hybridMultilevel"/>
    <w:tmpl w:val="BC36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E3FC0"/>
    <w:multiLevelType w:val="multilevel"/>
    <w:tmpl w:val="CFA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F7C71"/>
    <w:multiLevelType w:val="hybridMultilevel"/>
    <w:tmpl w:val="CEE271E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025D0"/>
    <w:multiLevelType w:val="multilevel"/>
    <w:tmpl w:val="0BF8779C"/>
    <w:lvl w:ilvl="0">
      <w:start w:val="1"/>
      <w:numFmt w:val="bullet"/>
      <w:lvlText w:val=""/>
      <w:lvlJc w:val="left"/>
      <w:pPr>
        <w:tabs>
          <w:tab w:val="num" w:pos="990"/>
        </w:tabs>
        <w:ind w:left="99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8263C"/>
    <w:multiLevelType w:val="hybridMultilevel"/>
    <w:tmpl w:val="CEA29D60"/>
    <w:lvl w:ilvl="0" w:tplc="E5269D1C">
      <w:start w:val="1"/>
      <w:numFmt w:val="bullet"/>
      <w:lvlText w:val="►"/>
      <w:lvlJc w:val="left"/>
      <w:pPr>
        <w:ind w:left="644" w:hanging="360"/>
      </w:pPr>
      <w:rPr>
        <w:rFonts w:ascii="Arial" w:hAnsi="Arial" w:hint="default"/>
        <w:b w:val="0"/>
        <w:color w:val="auto"/>
        <w:sz w:val="16"/>
        <w:szCs w:val="16"/>
        <w:u w:color="FFC00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023CFD"/>
    <w:multiLevelType w:val="hybridMultilevel"/>
    <w:tmpl w:val="0016B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E72B47"/>
    <w:multiLevelType w:val="hybridMultilevel"/>
    <w:tmpl w:val="0C9610D2"/>
    <w:lvl w:ilvl="0" w:tplc="28222D7A">
      <w:numFmt w:val="bullet"/>
      <w:lvlText w:val=""/>
      <w:lvlJc w:val="left"/>
      <w:pPr>
        <w:ind w:left="660" w:hanging="360"/>
      </w:pPr>
      <w:rPr>
        <w:rFonts w:ascii="Wingdings" w:eastAsia="Calibri" w:hAnsi="Wingdings"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2CBE4332"/>
    <w:multiLevelType w:val="multilevel"/>
    <w:tmpl w:val="C232A758"/>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B30FD3"/>
    <w:multiLevelType w:val="multilevel"/>
    <w:tmpl w:val="7B6EA18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12B7757"/>
    <w:multiLevelType w:val="hybridMultilevel"/>
    <w:tmpl w:val="CA68983A"/>
    <w:lvl w:ilvl="0" w:tplc="C0EC90E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19C6655"/>
    <w:multiLevelType w:val="hybridMultilevel"/>
    <w:tmpl w:val="E3A49B90"/>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150BDA"/>
    <w:multiLevelType w:val="multilevel"/>
    <w:tmpl w:val="7B6EA182"/>
    <w:lvl w:ilvl="0">
      <w:start w:val="1"/>
      <w:numFmt w:val="decimal"/>
      <w:lvlText w:val="%1"/>
      <w:lvlJc w:val="left"/>
      <w:pPr>
        <w:ind w:left="360" w:hanging="36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3395997"/>
    <w:multiLevelType w:val="hybridMultilevel"/>
    <w:tmpl w:val="32CABA2A"/>
    <w:lvl w:ilvl="0" w:tplc="47CCE65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B6E1B7B"/>
    <w:multiLevelType w:val="hybridMultilevel"/>
    <w:tmpl w:val="F0047D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27810"/>
    <w:multiLevelType w:val="hybridMultilevel"/>
    <w:tmpl w:val="921CD8D0"/>
    <w:lvl w:ilvl="0" w:tplc="2C7E5CB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4F34E7A"/>
    <w:multiLevelType w:val="hybridMultilevel"/>
    <w:tmpl w:val="C1927AB6"/>
    <w:lvl w:ilvl="0" w:tplc="3CDAED3A">
      <w:start w:val="1"/>
      <w:numFmt w:val="bullet"/>
      <w:pStyle w:val="List-Bullet3nospace"/>
      <w:lvlText w:val="•"/>
      <w:lvlJc w:val="left"/>
      <w:pPr>
        <w:ind w:left="720" w:hanging="360"/>
      </w:pPr>
      <w:rPr>
        <w:rFonts w:ascii="EYInterstate" w:hAnsi="EYInterstate" w:hint="default"/>
        <w:b w:val="0"/>
        <w:i w:val="0"/>
        <w:color w:val="FFE600"/>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0471CD"/>
    <w:multiLevelType w:val="hybridMultilevel"/>
    <w:tmpl w:val="07B4DF3A"/>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3" w15:restartNumberingAfterBreak="0">
    <w:nsid w:val="4BB652BD"/>
    <w:multiLevelType w:val="hybridMultilevel"/>
    <w:tmpl w:val="E6501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C3C19"/>
    <w:multiLevelType w:val="hybridMultilevel"/>
    <w:tmpl w:val="8B44523C"/>
    <w:lvl w:ilvl="0" w:tplc="37CA946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4DA14CC5"/>
    <w:multiLevelType w:val="hybridMultilevel"/>
    <w:tmpl w:val="E5FA4302"/>
    <w:lvl w:ilvl="0" w:tplc="6F907FFE">
      <w:start w:val="1"/>
      <w:numFmt w:val="bullet"/>
      <w:lvlText w:val=""/>
      <w:lvlJc w:val="left"/>
      <w:pPr>
        <w:ind w:left="720" w:hanging="360"/>
      </w:pPr>
      <w:rPr>
        <w:rFonts w:ascii="Symbol" w:hAnsi="Symbol" w:hint="default"/>
        <w:color w:val="auto"/>
        <w:u w:color="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C54F6D"/>
    <w:multiLevelType w:val="multilevel"/>
    <w:tmpl w:val="D33C29EC"/>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716E28"/>
    <w:multiLevelType w:val="hybridMultilevel"/>
    <w:tmpl w:val="9808E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3F20E0"/>
    <w:multiLevelType w:val="hybridMultilevel"/>
    <w:tmpl w:val="BF9684D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EF37AB"/>
    <w:multiLevelType w:val="hybridMultilevel"/>
    <w:tmpl w:val="4C6635BC"/>
    <w:lvl w:ilvl="0" w:tplc="542460A0">
      <w:start w:val="7"/>
      <w:numFmt w:val="bullet"/>
      <w:lvlText w:val=""/>
      <w:lvlJc w:val="left"/>
      <w:pPr>
        <w:ind w:left="1392" w:hanging="360"/>
      </w:pPr>
      <w:rPr>
        <w:rFonts w:ascii="Symbol" w:eastAsia="Calibri" w:hAnsi="Symbol" w:cs="Aria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0" w15:restartNumberingAfterBreak="0">
    <w:nsid w:val="5CFB51FA"/>
    <w:multiLevelType w:val="hybridMultilevel"/>
    <w:tmpl w:val="44CE066E"/>
    <w:lvl w:ilvl="0" w:tplc="8B3E629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15:restartNumberingAfterBreak="0">
    <w:nsid w:val="5D583F39"/>
    <w:multiLevelType w:val="multilevel"/>
    <w:tmpl w:val="7B6EA182"/>
    <w:lvl w:ilvl="0">
      <w:start w:val="1"/>
      <w:numFmt w:val="decimal"/>
      <w:lvlText w:val="%1"/>
      <w:lvlJc w:val="left"/>
      <w:pPr>
        <w:ind w:left="360" w:hanging="36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496091E"/>
    <w:multiLevelType w:val="multilevel"/>
    <w:tmpl w:val="7B6EA182"/>
    <w:lvl w:ilvl="0">
      <w:start w:val="1"/>
      <w:numFmt w:val="decimal"/>
      <w:lvlText w:val="%1"/>
      <w:lvlJc w:val="left"/>
      <w:pPr>
        <w:ind w:left="360" w:hanging="36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E563627"/>
    <w:multiLevelType w:val="hybridMultilevel"/>
    <w:tmpl w:val="6B6A2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468D9"/>
    <w:multiLevelType w:val="hybridMultilevel"/>
    <w:tmpl w:val="C9C416CC"/>
    <w:lvl w:ilvl="0" w:tplc="7D8E43C8">
      <w:start w:val="1"/>
      <w:numFmt w:val="decimal"/>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5" w15:restartNumberingAfterBreak="0">
    <w:nsid w:val="7B7D41C9"/>
    <w:multiLevelType w:val="hybridMultilevel"/>
    <w:tmpl w:val="B69E53FA"/>
    <w:lvl w:ilvl="0" w:tplc="C62C097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1"/>
  </w:num>
  <w:num w:numId="2">
    <w:abstractNumId w:val="33"/>
  </w:num>
  <w:num w:numId="3">
    <w:abstractNumId w:val="28"/>
  </w:num>
  <w:num w:numId="4">
    <w:abstractNumId w:val="16"/>
  </w:num>
  <w:num w:numId="5">
    <w:abstractNumId w:val="8"/>
  </w:num>
  <w:num w:numId="6">
    <w:abstractNumId w:val="10"/>
  </w:num>
  <w:num w:numId="7">
    <w:abstractNumId w:val="25"/>
  </w:num>
  <w:num w:numId="8">
    <w:abstractNumId w:val="11"/>
  </w:num>
  <w:num w:numId="9">
    <w:abstractNumId w:val="26"/>
  </w:num>
  <w:num w:numId="10">
    <w:abstractNumId w:val="27"/>
  </w:num>
  <w:num w:numId="11">
    <w:abstractNumId w:val="14"/>
  </w:num>
  <w:num w:numId="12">
    <w:abstractNumId w:val="15"/>
  </w:num>
  <w:num w:numId="13">
    <w:abstractNumId w:val="2"/>
  </w:num>
  <w:num w:numId="14">
    <w:abstractNumId w:val="18"/>
  </w:num>
  <w:num w:numId="15">
    <w:abstractNumId w:val="3"/>
  </w:num>
  <w:num w:numId="16">
    <w:abstractNumId w:val="13"/>
  </w:num>
  <w:num w:numId="17">
    <w:abstractNumId w:val="20"/>
  </w:num>
  <w:num w:numId="18">
    <w:abstractNumId w:val="29"/>
  </w:num>
  <w:num w:numId="19">
    <w:abstractNumId w:val="4"/>
  </w:num>
  <w:num w:numId="20">
    <w:abstractNumId w:val="32"/>
  </w:num>
  <w:num w:numId="21">
    <w:abstractNumId w:val="7"/>
  </w:num>
  <w:num w:numId="22">
    <w:abstractNumId w:val="19"/>
  </w:num>
  <w:num w:numId="23">
    <w:abstractNumId w:val="9"/>
  </w:num>
  <w:num w:numId="24">
    <w:abstractNumId w:val="5"/>
  </w:num>
  <w:num w:numId="25">
    <w:abstractNumId w:val="22"/>
  </w:num>
  <w:num w:numId="26">
    <w:abstractNumId w:val="12"/>
  </w:num>
  <w:num w:numId="27">
    <w:abstractNumId w:val="0"/>
  </w:num>
  <w:num w:numId="28">
    <w:abstractNumId w:val="35"/>
  </w:num>
  <w:num w:numId="29">
    <w:abstractNumId w:val="24"/>
  </w:num>
  <w:num w:numId="30">
    <w:abstractNumId w:val="30"/>
  </w:num>
  <w:num w:numId="31">
    <w:abstractNumId w:val="6"/>
  </w:num>
  <w:num w:numId="32">
    <w:abstractNumId w:val="1"/>
  </w:num>
  <w:num w:numId="33">
    <w:abstractNumId w:val="23"/>
  </w:num>
  <w:num w:numId="34">
    <w:abstractNumId w:val="17"/>
  </w:num>
  <w:num w:numId="35">
    <w:abstractNumId w:val="31"/>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FC"/>
    <w:rsid w:val="00002AA3"/>
    <w:rsid w:val="00013EA5"/>
    <w:rsid w:val="00014F94"/>
    <w:rsid w:val="0002565D"/>
    <w:rsid w:val="000317CD"/>
    <w:rsid w:val="00034824"/>
    <w:rsid w:val="000411C6"/>
    <w:rsid w:val="000428BB"/>
    <w:rsid w:val="00044886"/>
    <w:rsid w:val="000459D4"/>
    <w:rsid w:val="000461D6"/>
    <w:rsid w:val="00046A8F"/>
    <w:rsid w:val="00052B42"/>
    <w:rsid w:val="00063DEF"/>
    <w:rsid w:val="00066CFE"/>
    <w:rsid w:val="0007085E"/>
    <w:rsid w:val="00072D6E"/>
    <w:rsid w:val="00073EC8"/>
    <w:rsid w:val="00076332"/>
    <w:rsid w:val="00094FD9"/>
    <w:rsid w:val="00095691"/>
    <w:rsid w:val="00097076"/>
    <w:rsid w:val="000A6C4B"/>
    <w:rsid w:val="000B2C15"/>
    <w:rsid w:val="000B5A9E"/>
    <w:rsid w:val="000C5F88"/>
    <w:rsid w:val="000D4738"/>
    <w:rsid w:val="000D7862"/>
    <w:rsid w:val="000E53FF"/>
    <w:rsid w:val="000F6BFD"/>
    <w:rsid w:val="00100932"/>
    <w:rsid w:val="00100A24"/>
    <w:rsid w:val="001035DA"/>
    <w:rsid w:val="001119D5"/>
    <w:rsid w:val="00111A43"/>
    <w:rsid w:val="00120AD7"/>
    <w:rsid w:val="00134CF2"/>
    <w:rsid w:val="00143F93"/>
    <w:rsid w:val="00150524"/>
    <w:rsid w:val="00151ECA"/>
    <w:rsid w:val="001550A5"/>
    <w:rsid w:val="001553E7"/>
    <w:rsid w:val="0016427D"/>
    <w:rsid w:val="00170748"/>
    <w:rsid w:val="001719FC"/>
    <w:rsid w:val="00172C55"/>
    <w:rsid w:val="001760CF"/>
    <w:rsid w:val="00181436"/>
    <w:rsid w:val="00184FCD"/>
    <w:rsid w:val="00190AAC"/>
    <w:rsid w:val="001A13E3"/>
    <w:rsid w:val="001A3507"/>
    <w:rsid w:val="001A639C"/>
    <w:rsid w:val="001B7CCF"/>
    <w:rsid w:val="001C1F3A"/>
    <w:rsid w:val="001C53A9"/>
    <w:rsid w:val="001D100F"/>
    <w:rsid w:val="001D383D"/>
    <w:rsid w:val="001E490C"/>
    <w:rsid w:val="001F07E4"/>
    <w:rsid w:val="001F7BE9"/>
    <w:rsid w:val="00211E2E"/>
    <w:rsid w:val="00216020"/>
    <w:rsid w:val="002304AE"/>
    <w:rsid w:val="00230DB6"/>
    <w:rsid w:val="002367EF"/>
    <w:rsid w:val="00252713"/>
    <w:rsid w:val="00255A76"/>
    <w:rsid w:val="00260BAF"/>
    <w:rsid w:val="00265A8D"/>
    <w:rsid w:val="00266414"/>
    <w:rsid w:val="0026647B"/>
    <w:rsid w:val="00275338"/>
    <w:rsid w:val="00280A51"/>
    <w:rsid w:val="00280DCA"/>
    <w:rsid w:val="0028267D"/>
    <w:rsid w:val="00283768"/>
    <w:rsid w:val="00285BD1"/>
    <w:rsid w:val="00292CE0"/>
    <w:rsid w:val="002967DC"/>
    <w:rsid w:val="002A1248"/>
    <w:rsid w:val="002B0614"/>
    <w:rsid w:val="002C2A93"/>
    <w:rsid w:val="002C2D8A"/>
    <w:rsid w:val="002C6538"/>
    <w:rsid w:val="002D4B42"/>
    <w:rsid w:val="002D5F16"/>
    <w:rsid w:val="002E072C"/>
    <w:rsid w:val="002E686E"/>
    <w:rsid w:val="002F1C39"/>
    <w:rsid w:val="002F5B95"/>
    <w:rsid w:val="002F6342"/>
    <w:rsid w:val="002F6BB3"/>
    <w:rsid w:val="002F746D"/>
    <w:rsid w:val="00304A7D"/>
    <w:rsid w:val="00305300"/>
    <w:rsid w:val="0032444C"/>
    <w:rsid w:val="003245A2"/>
    <w:rsid w:val="003269E9"/>
    <w:rsid w:val="00332C2E"/>
    <w:rsid w:val="00334CD1"/>
    <w:rsid w:val="00340E62"/>
    <w:rsid w:val="00341C22"/>
    <w:rsid w:val="00356235"/>
    <w:rsid w:val="0035769F"/>
    <w:rsid w:val="00361913"/>
    <w:rsid w:val="003726B9"/>
    <w:rsid w:val="003816B5"/>
    <w:rsid w:val="0038288F"/>
    <w:rsid w:val="003841BC"/>
    <w:rsid w:val="003850C5"/>
    <w:rsid w:val="00392F2D"/>
    <w:rsid w:val="003A4C67"/>
    <w:rsid w:val="003A681A"/>
    <w:rsid w:val="003B4743"/>
    <w:rsid w:val="003B4B20"/>
    <w:rsid w:val="003B6733"/>
    <w:rsid w:val="003C7639"/>
    <w:rsid w:val="003D083F"/>
    <w:rsid w:val="003D5CF6"/>
    <w:rsid w:val="003D753C"/>
    <w:rsid w:val="003E3A3F"/>
    <w:rsid w:val="003E458B"/>
    <w:rsid w:val="003E51C7"/>
    <w:rsid w:val="003F279E"/>
    <w:rsid w:val="004054A1"/>
    <w:rsid w:val="004054ED"/>
    <w:rsid w:val="00407D00"/>
    <w:rsid w:val="0041050E"/>
    <w:rsid w:val="004215B3"/>
    <w:rsid w:val="00426D6C"/>
    <w:rsid w:val="00432681"/>
    <w:rsid w:val="00433F37"/>
    <w:rsid w:val="00435FA9"/>
    <w:rsid w:val="00445FDA"/>
    <w:rsid w:val="0046240F"/>
    <w:rsid w:val="00470DAB"/>
    <w:rsid w:val="00472994"/>
    <w:rsid w:val="004729A2"/>
    <w:rsid w:val="00474E78"/>
    <w:rsid w:val="00482CF6"/>
    <w:rsid w:val="00485CC0"/>
    <w:rsid w:val="00487A5D"/>
    <w:rsid w:val="004918FB"/>
    <w:rsid w:val="00491ECC"/>
    <w:rsid w:val="00492B73"/>
    <w:rsid w:val="0049719D"/>
    <w:rsid w:val="004A0A64"/>
    <w:rsid w:val="004A1F68"/>
    <w:rsid w:val="004A66E4"/>
    <w:rsid w:val="004A677E"/>
    <w:rsid w:val="004B398C"/>
    <w:rsid w:val="004C02F1"/>
    <w:rsid w:val="004C2E3A"/>
    <w:rsid w:val="004D5E29"/>
    <w:rsid w:val="004E02DF"/>
    <w:rsid w:val="004E2FC8"/>
    <w:rsid w:val="004F798A"/>
    <w:rsid w:val="0050449B"/>
    <w:rsid w:val="00514C14"/>
    <w:rsid w:val="0051626D"/>
    <w:rsid w:val="005211AE"/>
    <w:rsid w:val="00527D3B"/>
    <w:rsid w:val="005376D6"/>
    <w:rsid w:val="00537FD0"/>
    <w:rsid w:val="005433FA"/>
    <w:rsid w:val="00543DEB"/>
    <w:rsid w:val="00545444"/>
    <w:rsid w:val="00553C64"/>
    <w:rsid w:val="0056041B"/>
    <w:rsid w:val="00572FDA"/>
    <w:rsid w:val="00582293"/>
    <w:rsid w:val="00592E79"/>
    <w:rsid w:val="00595DF4"/>
    <w:rsid w:val="0059602D"/>
    <w:rsid w:val="00597E92"/>
    <w:rsid w:val="005B129D"/>
    <w:rsid w:val="005C7E41"/>
    <w:rsid w:val="005D1842"/>
    <w:rsid w:val="005D65B1"/>
    <w:rsid w:val="005D6816"/>
    <w:rsid w:val="005F548F"/>
    <w:rsid w:val="006237BD"/>
    <w:rsid w:val="00625D4D"/>
    <w:rsid w:val="00627CFE"/>
    <w:rsid w:val="00630E82"/>
    <w:rsid w:val="00646FED"/>
    <w:rsid w:val="006560EF"/>
    <w:rsid w:val="006769A4"/>
    <w:rsid w:val="0067778E"/>
    <w:rsid w:val="006816A1"/>
    <w:rsid w:val="00684686"/>
    <w:rsid w:val="0068657D"/>
    <w:rsid w:val="00686E3D"/>
    <w:rsid w:val="00690D28"/>
    <w:rsid w:val="00691E35"/>
    <w:rsid w:val="00692070"/>
    <w:rsid w:val="00692905"/>
    <w:rsid w:val="00693B9C"/>
    <w:rsid w:val="006A38DE"/>
    <w:rsid w:val="006B69EE"/>
    <w:rsid w:val="006D5308"/>
    <w:rsid w:val="006E18B4"/>
    <w:rsid w:val="006E419C"/>
    <w:rsid w:val="006E7D8E"/>
    <w:rsid w:val="006F06D8"/>
    <w:rsid w:val="006F4DB5"/>
    <w:rsid w:val="00703ADA"/>
    <w:rsid w:val="00711CDC"/>
    <w:rsid w:val="007141A5"/>
    <w:rsid w:val="00723999"/>
    <w:rsid w:val="00726B80"/>
    <w:rsid w:val="0073648F"/>
    <w:rsid w:val="00742926"/>
    <w:rsid w:val="007470B5"/>
    <w:rsid w:val="00754724"/>
    <w:rsid w:val="00761F76"/>
    <w:rsid w:val="00765D34"/>
    <w:rsid w:val="0077757B"/>
    <w:rsid w:val="00785760"/>
    <w:rsid w:val="00786F43"/>
    <w:rsid w:val="00791565"/>
    <w:rsid w:val="00793613"/>
    <w:rsid w:val="0079746C"/>
    <w:rsid w:val="007B1065"/>
    <w:rsid w:val="007B540F"/>
    <w:rsid w:val="007B6036"/>
    <w:rsid w:val="007C0E0B"/>
    <w:rsid w:val="007C5D21"/>
    <w:rsid w:val="007D0244"/>
    <w:rsid w:val="007D3C7E"/>
    <w:rsid w:val="0080035E"/>
    <w:rsid w:val="00803DF3"/>
    <w:rsid w:val="00806976"/>
    <w:rsid w:val="0081674D"/>
    <w:rsid w:val="0082028E"/>
    <w:rsid w:val="00826EDD"/>
    <w:rsid w:val="00827E58"/>
    <w:rsid w:val="00830A10"/>
    <w:rsid w:val="00830FCB"/>
    <w:rsid w:val="00837909"/>
    <w:rsid w:val="008560B1"/>
    <w:rsid w:val="008572B3"/>
    <w:rsid w:val="00886978"/>
    <w:rsid w:val="00887537"/>
    <w:rsid w:val="0088770D"/>
    <w:rsid w:val="0089309B"/>
    <w:rsid w:val="00893C18"/>
    <w:rsid w:val="008A4A76"/>
    <w:rsid w:val="008A5DAD"/>
    <w:rsid w:val="008B3F40"/>
    <w:rsid w:val="008C1A87"/>
    <w:rsid w:val="008D6A06"/>
    <w:rsid w:val="008D716C"/>
    <w:rsid w:val="008E382D"/>
    <w:rsid w:val="008F25C1"/>
    <w:rsid w:val="008F3D72"/>
    <w:rsid w:val="00900EE9"/>
    <w:rsid w:val="00912248"/>
    <w:rsid w:val="009122E5"/>
    <w:rsid w:val="00912D30"/>
    <w:rsid w:val="00921F1C"/>
    <w:rsid w:val="00932119"/>
    <w:rsid w:val="00933874"/>
    <w:rsid w:val="00935CA6"/>
    <w:rsid w:val="00950668"/>
    <w:rsid w:val="009510F7"/>
    <w:rsid w:val="00956AAB"/>
    <w:rsid w:val="009710F7"/>
    <w:rsid w:val="00972CF8"/>
    <w:rsid w:val="00976FE0"/>
    <w:rsid w:val="009813EF"/>
    <w:rsid w:val="0099158D"/>
    <w:rsid w:val="009975FC"/>
    <w:rsid w:val="009B1195"/>
    <w:rsid w:val="009B128A"/>
    <w:rsid w:val="009B5975"/>
    <w:rsid w:val="009B6EF8"/>
    <w:rsid w:val="009C19A2"/>
    <w:rsid w:val="009C2FE7"/>
    <w:rsid w:val="009C59D1"/>
    <w:rsid w:val="009D6BE2"/>
    <w:rsid w:val="009E12F8"/>
    <w:rsid w:val="009E495C"/>
    <w:rsid w:val="009E5612"/>
    <w:rsid w:val="009F143D"/>
    <w:rsid w:val="009F3431"/>
    <w:rsid w:val="00A031C3"/>
    <w:rsid w:val="00A06026"/>
    <w:rsid w:val="00A12946"/>
    <w:rsid w:val="00A2088D"/>
    <w:rsid w:val="00A21CEF"/>
    <w:rsid w:val="00A22F27"/>
    <w:rsid w:val="00A42338"/>
    <w:rsid w:val="00A42599"/>
    <w:rsid w:val="00A44197"/>
    <w:rsid w:val="00A53A4A"/>
    <w:rsid w:val="00A603F2"/>
    <w:rsid w:val="00A6308C"/>
    <w:rsid w:val="00A75C12"/>
    <w:rsid w:val="00A76679"/>
    <w:rsid w:val="00A82ED2"/>
    <w:rsid w:val="00A82EEE"/>
    <w:rsid w:val="00A865D0"/>
    <w:rsid w:val="00A87E25"/>
    <w:rsid w:val="00AA204A"/>
    <w:rsid w:val="00AC4845"/>
    <w:rsid w:val="00AC4924"/>
    <w:rsid w:val="00AD59D4"/>
    <w:rsid w:val="00AF0AAE"/>
    <w:rsid w:val="00AF67A6"/>
    <w:rsid w:val="00B03938"/>
    <w:rsid w:val="00B07643"/>
    <w:rsid w:val="00B27E2B"/>
    <w:rsid w:val="00B27ECF"/>
    <w:rsid w:val="00B33436"/>
    <w:rsid w:val="00B35DE9"/>
    <w:rsid w:val="00B37D8B"/>
    <w:rsid w:val="00B40830"/>
    <w:rsid w:val="00B40F5E"/>
    <w:rsid w:val="00B410F7"/>
    <w:rsid w:val="00B47F6C"/>
    <w:rsid w:val="00B531BD"/>
    <w:rsid w:val="00B53CFA"/>
    <w:rsid w:val="00B541EE"/>
    <w:rsid w:val="00B545DF"/>
    <w:rsid w:val="00B7181B"/>
    <w:rsid w:val="00B80EA4"/>
    <w:rsid w:val="00B81377"/>
    <w:rsid w:val="00B81D39"/>
    <w:rsid w:val="00B83A28"/>
    <w:rsid w:val="00B87E5A"/>
    <w:rsid w:val="00BA0618"/>
    <w:rsid w:val="00BA2253"/>
    <w:rsid w:val="00BB4406"/>
    <w:rsid w:val="00BB5369"/>
    <w:rsid w:val="00BB61C2"/>
    <w:rsid w:val="00BD0D49"/>
    <w:rsid w:val="00BD40A6"/>
    <w:rsid w:val="00BD4BEA"/>
    <w:rsid w:val="00BE0131"/>
    <w:rsid w:val="00BE0809"/>
    <w:rsid w:val="00BE1B55"/>
    <w:rsid w:val="00BE65E2"/>
    <w:rsid w:val="00C114A7"/>
    <w:rsid w:val="00C143A1"/>
    <w:rsid w:val="00C23402"/>
    <w:rsid w:val="00C31431"/>
    <w:rsid w:val="00C340C2"/>
    <w:rsid w:val="00C46A03"/>
    <w:rsid w:val="00C46EED"/>
    <w:rsid w:val="00C47102"/>
    <w:rsid w:val="00C63FDF"/>
    <w:rsid w:val="00C73BB5"/>
    <w:rsid w:val="00C76374"/>
    <w:rsid w:val="00C77E36"/>
    <w:rsid w:val="00C86D4D"/>
    <w:rsid w:val="00C87ECC"/>
    <w:rsid w:val="00C95088"/>
    <w:rsid w:val="00C9729F"/>
    <w:rsid w:val="00CA1C1C"/>
    <w:rsid w:val="00CB7234"/>
    <w:rsid w:val="00CC0499"/>
    <w:rsid w:val="00CC6937"/>
    <w:rsid w:val="00CD3704"/>
    <w:rsid w:val="00CD5BB5"/>
    <w:rsid w:val="00CE5274"/>
    <w:rsid w:val="00CE64A4"/>
    <w:rsid w:val="00CE69F1"/>
    <w:rsid w:val="00CF528F"/>
    <w:rsid w:val="00CF5BB0"/>
    <w:rsid w:val="00D0061E"/>
    <w:rsid w:val="00D02D34"/>
    <w:rsid w:val="00D0797A"/>
    <w:rsid w:val="00D169A7"/>
    <w:rsid w:val="00D22AA0"/>
    <w:rsid w:val="00D22CBE"/>
    <w:rsid w:val="00D23408"/>
    <w:rsid w:val="00D2556E"/>
    <w:rsid w:val="00D26EEE"/>
    <w:rsid w:val="00D301FF"/>
    <w:rsid w:val="00D4068F"/>
    <w:rsid w:val="00D416C0"/>
    <w:rsid w:val="00D41D1C"/>
    <w:rsid w:val="00D43DFC"/>
    <w:rsid w:val="00D51B97"/>
    <w:rsid w:val="00D55F0B"/>
    <w:rsid w:val="00D71D4F"/>
    <w:rsid w:val="00D73453"/>
    <w:rsid w:val="00D76FC3"/>
    <w:rsid w:val="00D8303F"/>
    <w:rsid w:val="00D92AD2"/>
    <w:rsid w:val="00D95EF2"/>
    <w:rsid w:val="00D9744F"/>
    <w:rsid w:val="00DA290B"/>
    <w:rsid w:val="00DB07A1"/>
    <w:rsid w:val="00DB524E"/>
    <w:rsid w:val="00DB677A"/>
    <w:rsid w:val="00DC0DE5"/>
    <w:rsid w:val="00DC17D8"/>
    <w:rsid w:val="00DC37C4"/>
    <w:rsid w:val="00DE6CEB"/>
    <w:rsid w:val="00E10D5C"/>
    <w:rsid w:val="00E10D7A"/>
    <w:rsid w:val="00E10E3F"/>
    <w:rsid w:val="00E10ED6"/>
    <w:rsid w:val="00E14CD3"/>
    <w:rsid w:val="00E20EE1"/>
    <w:rsid w:val="00E2501C"/>
    <w:rsid w:val="00E27B37"/>
    <w:rsid w:val="00E310C8"/>
    <w:rsid w:val="00E31497"/>
    <w:rsid w:val="00E34E8C"/>
    <w:rsid w:val="00E36922"/>
    <w:rsid w:val="00E46DAD"/>
    <w:rsid w:val="00E6355F"/>
    <w:rsid w:val="00E647F2"/>
    <w:rsid w:val="00E647F7"/>
    <w:rsid w:val="00E7157A"/>
    <w:rsid w:val="00E737D6"/>
    <w:rsid w:val="00E739D3"/>
    <w:rsid w:val="00E950D4"/>
    <w:rsid w:val="00EA1B90"/>
    <w:rsid w:val="00EA26AB"/>
    <w:rsid w:val="00EA3E1A"/>
    <w:rsid w:val="00EB05EA"/>
    <w:rsid w:val="00EB716D"/>
    <w:rsid w:val="00EC7111"/>
    <w:rsid w:val="00ED737F"/>
    <w:rsid w:val="00EE3B0F"/>
    <w:rsid w:val="00EE71F7"/>
    <w:rsid w:val="00EF01D4"/>
    <w:rsid w:val="00EF1545"/>
    <w:rsid w:val="00EF275F"/>
    <w:rsid w:val="00EF31AB"/>
    <w:rsid w:val="00F17B9F"/>
    <w:rsid w:val="00F3218A"/>
    <w:rsid w:val="00F32957"/>
    <w:rsid w:val="00F35F18"/>
    <w:rsid w:val="00F36A25"/>
    <w:rsid w:val="00F4140C"/>
    <w:rsid w:val="00F51B28"/>
    <w:rsid w:val="00F52FF1"/>
    <w:rsid w:val="00F5491E"/>
    <w:rsid w:val="00F54BB1"/>
    <w:rsid w:val="00F575C8"/>
    <w:rsid w:val="00F62363"/>
    <w:rsid w:val="00F63FBC"/>
    <w:rsid w:val="00F66FDA"/>
    <w:rsid w:val="00F70226"/>
    <w:rsid w:val="00FB1595"/>
    <w:rsid w:val="00FB26ED"/>
    <w:rsid w:val="00FB4D8B"/>
    <w:rsid w:val="00FC0ED4"/>
    <w:rsid w:val="00FC36A4"/>
    <w:rsid w:val="00FC393E"/>
    <w:rsid w:val="00FC65A0"/>
    <w:rsid w:val="00FD30CA"/>
    <w:rsid w:val="00FE1B4C"/>
    <w:rsid w:val="00FE44D3"/>
    <w:rsid w:val="00FF2348"/>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87F1"/>
  <w15:docId w15:val="{58332229-E2A9-4702-A4FF-732723D5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86"/>
  </w:style>
  <w:style w:type="paragraph" w:styleId="Heading1">
    <w:name w:val="heading 1"/>
    <w:basedOn w:val="Normal"/>
    <w:next w:val="Normal"/>
    <w:link w:val="Heading1Char"/>
    <w:uiPriority w:val="9"/>
    <w:qFormat/>
    <w:rsid w:val="005D184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D184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A75C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F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9975FC"/>
    <w:rPr>
      <w:rFonts w:ascii="Times New Roman" w:eastAsia="Times New Roman" w:hAnsi="Times New Roman" w:cs="Times New Roman"/>
      <w:sz w:val="20"/>
      <w:szCs w:val="20"/>
      <w:lang w:val="en-US"/>
    </w:rPr>
  </w:style>
  <w:style w:type="table" w:styleId="TableGrid">
    <w:name w:val="Table Grid"/>
    <w:basedOn w:val="TableNormal"/>
    <w:uiPriority w:val="59"/>
    <w:rsid w:val="0099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18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D1842"/>
    <w:rPr>
      <w:rFonts w:asciiTheme="majorHAnsi" w:eastAsiaTheme="majorEastAsia" w:hAnsiTheme="majorHAnsi" w:cstheme="majorBidi"/>
      <w:b/>
      <w:bCs/>
      <w:color w:val="4472C4" w:themeColor="accent1"/>
      <w:sz w:val="26"/>
      <w:szCs w:val="26"/>
    </w:rPr>
  </w:style>
  <w:style w:type="paragraph" w:styleId="NoSpacing">
    <w:name w:val="No Spacing"/>
    <w:link w:val="NoSpacingChar"/>
    <w:uiPriority w:val="1"/>
    <w:qFormat/>
    <w:rsid w:val="005D1842"/>
    <w:pPr>
      <w:spacing w:after="0" w:line="240" w:lineRule="auto"/>
    </w:pPr>
  </w:style>
  <w:style w:type="paragraph" w:styleId="ListParagraph">
    <w:name w:val="List Paragraph"/>
    <w:aliases w:val="List Paragraph1,List Paragraph Char Char,b1,d_bodyb,lp1,Amex_bullet,Figure_name,List Paragraph11,Number_1,SGLText List Paragraph,new,List Paragraph2,Colorful List - Accent 11,Normal Sentence,ListPar1,Paragraph,HEAD 3,Bullet 1"/>
    <w:basedOn w:val="Normal"/>
    <w:link w:val="ListParagraphChar"/>
    <w:uiPriority w:val="34"/>
    <w:qFormat/>
    <w:rsid w:val="005D1842"/>
    <w:pPr>
      <w:spacing w:after="200" w:line="276" w:lineRule="auto"/>
      <w:ind w:left="720"/>
      <w:contextualSpacing/>
    </w:pPr>
  </w:style>
  <w:style w:type="character" w:styleId="Hyperlink">
    <w:name w:val="Hyperlink"/>
    <w:basedOn w:val="DefaultParagraphFont"/>
    <w:uiPriority w:val="99"/>
    <w:unhideWhenUsed/>
    <w:rsid w:val="005D1842"/>
    <w:rPr>
      <w:color w:val="0563C1" w:themeColor="hyperlink"/>
      <w:u w:val="single"/>
    </w:rPr>
  </w:style>
  <w:style w:type="paragraph" w:styleId="TOCHeading">
    <w:name w:val="TOC Heading"/>
    <w:basedOn w:val="Heading1"/>
    <w:next w:val="Normal"/>
    <w:uiPriority w:val="39"/>
    <w:unhideWhenUsed/>
    <w:qFormat/>
    <w:rsid w:val="005D1842"/>
    <w:pPr>
      <w:outlineLvl w:val="9"/>
    </w:pPr>
    <w:rPr>
      <w:lang w:val="en-US" w:eastAsia="ja-JP"/>
    </w:rPr>
  </w:style>
  <w:style w:type="paragraph" w:styleId="TOC1">
    <w:name w:val="toc 1"/>
    <w:basedOn w:val="Normal"/>
    <w:next w:val="Normal"/>
    <w:autoRedefine/>
    <w:uiPriority w:val="39"/>
    <w:unhideWhenUsed/>
    <w:rsid w:val="005D1842"/>
    <w:pPr>
      <w:spacing w:after="100" w:line="276" w:lineRule="auto"/>
    </w:pPr>
  </w:style>
  <w:style w:type="character" w:customStyle="1" w:styleId="NoSpacingChar">
    <w:name w:val="No Spacing Char"/>
    <w:basedOn w:val="DefaultParagraphFont"/>
    <w:link w:val="NoSpacing"/>
    <w:uiPriority w:val="1"/>
    <w:rsid w:val="005D1842"/>
  </w:style>
  <w:style w:type="character" w:customStyle="1" w:styleId="ListParagraphChar">
    <w:name w:val="List Paragraph Char"/>
    <w:aliases w:val="List Paragraph1 Char,List Paragraph Char Char Char,b1 Char,d_bodyb Char,lp1 Char,Amex_bullet Char,Figure_name Char,List Paragraph11 Char,Number_1 Char,SGLText List Paragraph Char,new Char,List Paragraph2 Char,Normal Sentence Char"/>
    <w:basedOn w:val="DefaultParagraphFont"/>
    <w:link w:val="ListParagraph"/>
    <w:uiPriority w:val="34"/>
    <w:qFormat/>
    <w:rsid w:val="005D1842"/>
  </w:style>
  <w:style w:type="paragraph" w:styleId="BalloonText">
    <w:name w:val="Balloon Text"/>
    <w:basedOn w:val="Normal"/>
    <w:link w:val="BalloonTextChar"/>
    <w:uiPriority w:val="99"/>
    <w:semiHidden/>
    <w:unhideWhenUsed/>
    <w:rsid w:val="0071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CDC"/>
    <w:rPr>
      <w:rFonts w:ascii="Tahoma" w:hAnsi="Tahoma" w:cs="Tahoma"/>
      <w:sz w:val="16"/>
      <w:szCs w:val="16"/>
    </w:rPr>
  </w:style>
  <w:style w:type="paragraph" w:styleId="Footer">
    <w:name w:val="footer"/>
    <w:basedOn w:val="Normal"/>
    <w:link w:val="FooterChar"/>
    <w:uiPriority w:val="99"/>
    <w:unhideWhenUsed/>
    <w:rsid w:val="0071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DC"/>
  </w:style>
  <w:style w:type="paragraph" w:styleId="TOC2">
    <w:name w:val="toc 2"/>
    <w:basedOn w:val="Normal"/>
    <w:next w:val="Normal"/>
    <w:autoRedefine/>
    <w:uiPriority w:val="39"/>
    <w:unhideWhenUsed/>
    <w:rsid w:val="00492B73"/>
    <w:pPr>
      <w:tabs>
        <w:tab w:val="left" w:pos="880"/>
        <w:tab w:val="right" w:leader="dot" w:pos="9016"/>
      </w:tabs>
      <w:spacing w:after="100"/>
      <w:ind w:left="220"/>
    </w:pPr>
    <w:rPr>
      <w:rFonts w:eastAsia="Calibri" w:cs="Arial"/>
      <w:b/>
      <w:iCs/>
      <w:noProof/>
      <w:color w:val="4472C4" w:themeColor="accent1"/>
    </w:rPr>
  </w:style>
  <w:style w:type="paragraph" w:customStyle="1" w:styleId="Default">
    <w:name w:val="Default"/>
    <w:rsid w:val="007D024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GCPMNormal">
    <w:name w:val="GCPM_Normal"/>
    <w:basedOn w:val="Normal"/>
    <w:link w:val="GCPMNormalChar"/>
    <w:qFormat/>
    <w:rsid w:val="00426D6C"/>
    <w:pPr>
      <w:spacing w:after="0" w:line="240" w:lineRule="auto"/>
    </w:pPr>
    <w:rPr>
      <w:rFonts w:ascii="Arial" w:eastAsia="Times New Roman" w:hAnsi="Arial" w:cs="Tahoma"/>
      <w:color w:val="000000"/>
      <w:sz w:val="20"/>
      <w:szCs w:val="20"/>
      <w:lang w:val="en-GB" w:eastAsia="ar-SA"/>
    </w:rPr>
  </w:style>
  <w:style w:type="character" w:customStyle="1" w:styleId="GCPMNormalChar">
    <w:name w:val="GCPM_Normal Char"/>
    <w:link w:val="GCPMNormal"/>
    <w:rsid w:val="00426D6C"/>
    <w:rPr>
      <w:rFonts w:ascii="Arial" w:eastAsia="Times New Roman" w:hAnsi="Arial" w:cs="Tahoma"/>
      <w:color w:val="000000"/>
      <w:sz w:val="20"/>
      <w:szCs w:val="20"/>
      <w:lang w:val="en-GB" w:eastAsia="ar-SA"/>
    </w:rPr>
  </w:style>
  <w:style w:type="paragraph" w:styleId="FootnoteText">
    <w:name w:val="footnote text"/>
    <w:aliases w:val="fn,single space,FOOTNOTES,FT,ft"/>
    <w:basedOn w:val="Normal"/>
    <w:link w:val="FootnoteTextChar"/>
    <w:uiPriority w:val="99"/>
    <w:unhideWhenUsed/>
    <w:rsid w:val="00426D6C"/>
    <w:pPr>
      <w:spacing w:after="0" w:line="240" w:lineRule="auto"/>
    </w:pPr>
    <w:rPr>
      <w:rFonts w:ascii="Calibri" w:eastAsia="Calibri" w:hAnsi="Calibri" w:cs="Times New Roman"/>
      <w:sz w:val="20"/>
      <w:szCs w:val="20"/>
    </w:rPr>
  </w:style>
  <w:style w:type="character" w:customStyle="1" w:styleId="FootnoteTextChar">
    <w:name w:val="Footnote Text Char"/>
    <w:aliases w:val="fn Char,single space Char,FOOTNOTES Char,FT Char,ft Char"/>
    <w:basedOn w:val="DefaultParagraphFont"/>
    <w:link w:val="FootnoteText"/>
    <w:uiPriority w:val="99"/>
    <w:rsid w:val="00426D6C"/>
    <w:rPr>
      <w:rFonts w:ascii="Calibri" w:eastAsia="Calibri" w:hAnsi="Calibri" w:cs="Times New Roman"/>
      <w:sz w:val="20"/>
      <w:szCs w:val="20"/>
    </w:rPr>
  </w:style>
  <w:style w:type="character" w:styleId="FootnoteReference">
    <w:name w:val="footnote reference"/>
    <w:uiPriority w:val="99"/>
    <w:unhideWhenUsed/>
    <w:rsid w:val="00426D6C"/>
    <w:rPr>
      <w:vertAlign w:val="superscript"/>
    </w:rPr>
  </w:style>
  <w:style w:type="character" w:customStyle="1" w:styleId="Heading3Char">
    <w:name w:val="Heading 3 Char"/>
    <w:basedOn w:val="DefaultParagraphFont"/>
    <w:link w:val="Heading3"/>
    <w:uiPriority w:val="9"/>
    <w:semiHidden/>
    <w:rsid w:val="00A75C1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75C12"/>
    <w:pPr>
      <w:spacing w:after="100"/>
      <w:ind w:left="440"/>
    </w:pPr>
  </w:style>
  <w:style w:type="paragraph" w:customStyle="1" w:styleId="VersionControl">
    <w:name w:val="Version Control"/>
    <w:basedOn w:val="ListParagraph"/>
    <w:link w:val="VersionControlChar"/>
    <w:qFormat/>
    <w:rsid w:val="00A75C12"/>
    <w:pPr>
      <w:spacing w:before="60" w:after="120" w:line="240" w:lineRule="auto"/>
      <w:ind w:left="0"/>
      <w:contextualSpacing w:val="0"/>
    </w:pPr>
    <w:rPr>
      <w:rFonts w:ascii="Arial" w:hAnsi="Arial"/>
      <w:b/>
      <w:sz w:val="24"/>
      <w:lang w:val="en-US"/>
    </w:rPr>
  </w:style>
  <w:style w:type="character" w:customStyle="1" w:styleId="VersionControlChar">
    <w:name w:val="Version Control Char"/>
    <w:basedOn w:val="DefaultParagraphFont"/>
    <w:link w:val="VersionControl"/>
    <w:rsid w:val="00A75C12"/>
    <w:rPr>
      <w:rFonts w:ascii="Arial" w:hAnsi="Arial"/>
      <w:b/>
      <w:sz w:val="24"/>
      <w:lang w:val="en-US"/>
    </w:rPr>
  </w:style>
  <w:style w:type="paragraph" w:customStyle="1" w:styleId="List-Number">
    <w:name w:val="List - Number"/>
    <w:basedOn w:val="Normal"/>
    <w:link w:val="List-NumberChar"/>
    <w:qFormat/>
    <w:rsid w:val="00A75C12"/>
    <w:pPr>
      <w:adjustRightInd w:val="0"/>
      <w:snapToGrid w:val="0"/>
      <w:spacing w:before="120" w:after="120" w:line="240" w:lineRule="auto"/>
      <w:ind w:left="360" w:hanging="360"/>
      <w:jc w:val="both"/>
    </w:pPr>
    <w:rPr>
      <w:rFonts w:ascii="EYInterstate Light" w:eastAsia="Calibri" w:hAnsi="EYInterstate Light" w:cs="Times New Roman"/>
      <w:kern w:val="12"/>
      <w:sz w:val="20"/>
      <w:szCs w:val="24"/>
      <w:lang w:val="en-GB"/>
    </w:rPr>
  </w:style>
  <w:style w:type="paragraph" w:customStyle="1" w:styleId="List-Bullet3nospace">
    <w:name w:val="List - Bullet 3 (no space)"/>
    <w:basedOn w:val="Normal"/>
    <w:link w:val="List-Bullet3nospaceChar"/>
    <w:qFormat/>
    <w:rsid w:val="00A75C12"/>
    <w:pPr>
      <w:numPr>
        <w:numId w:val="1"/>
      </w:numPr>
      <w:spacing w:after="0" w:line="240" w:lineRule="auto"/>
      <w:ind w:left="357" w:hanging="357"/>
    </w:pPr>
    <w:rPr>
      <w:rFonts w:ascii="EYInterstate Light" w:eastAsia="Calibri" w:hAnsi="EYInterstate Light" w:cs="Times New Roman"/>
      <w:kern w:val="12"/>
      <w:sz w:val="20"/>
      <w:szCs w:val="24"/>
      <w:lang w:val="en-GB"/>
    </w:rPr>
  </w:style>
  <w:style w:type="character" w:customStyle="1" w:styleId="List-Bullet3nospaceChar">
    <w:name w:val="List - Bullet 3 (no space) Char"/>
    <w:basedOn w:val="DefaultParagraphFont"/>
    <w:link w:val="List-Bullet3nospace"/>
    <w:rsid w:val="00A75C12"/>
    <w:rPr>
      <w:rFonts w:ascii="EYInterstate Light" w:eastAsia="Calibri" w:hAnsi="EYInterstate Light" w:cs="Times New Roman"/>
      <w:kern w:val="12"/>
      <w:sz w:val="20"/>
      <w:szCs w:val="24"/>
      <w:lang w:val="en-GB"/>
    </w:rPr>
  </w:style>
  <w:style w:type="character" w:customStyle="1" w:styleId="List-NumberChar">
    <w:name w:val="List - Number Char"/>
    <w:basedOn w:val="DefaultParagraphFont"/>
    <w:link w:val="List-Number"/>
    <w:rsid w:val="00A75C12"/>
    <w:rPr>
      <w:rFonts w:ascii="EYInterstate Light" w:eastAsia="Calibri" w:hAnsi="EYInterstate Light" w:cs="Times New Roman"/>
      <w:kern w:val="12"/>
      <w:sz w:val="20"/>
      <w:szCs w:val="24"/>
      <w:lang w:val="en-GB"/>
    </w:rPr>
  </w:style>
  <w:style w:type="paragraph" w:styleId="BodyText2">
    <w:name w:val="Body Text 2"/>
    <w:basedOn w:val="Normal"/>
    <w:link w:val="BodyText2Char"/>
    <w:rsid w:val="00044886"/>
    <w:pPr>
      <w:adjustRightInd w:val="0"/>
      <w:snapToGrid w:val="0"/>
      <w:spacing w:before="120" w:after="120" w:line="480" w:lineRule="auto"/>
      <w:jc w:val="both"/>
    </w:pPr>
    <w:rPr>
      <w:rFonts w:ascii="Arial" w:eastAsia="Calibri" w:hAnsi="Arial" w:cs="Arial"/>
      <w:sz w:val="20"/>
      <w:szCs w:val="20"/>
      <w:lang w:val="en-GB" w:eastAsia="en-GB"/>
    </w:rPr>
  </w:style>
  <w:style w:type="character" w:customStyle="1" w:styleId="BodyText2Char">
    <w:name w:val="Body Text 2 Char"/>
    <w:basedOn w:val="DefaultParagraphFont"/>
    <w:link w:val="BodyText2"/>
    <w:rsid w:val="00044886"/>
    <w:rPr>
      <w:rFonts w:ascii="Arial" w:eastAsia="Calibri" w:hAnsi="Arial" w:cs="Arial"/>
      <w:sz w:val="20"/>
      <w:szCs w:val="20"/>
      <w:lang w:val="en-GB" w:eastAsia="en-GB"/>
    </w:rPr>
  </w:style>
  <w:style w:type="character" w:styleId="CommentReference">
    <w:name w:val="annotation reference"/>
    <w:basedOn w:val="DefaultParagraphFont"/>
    <w:rsid w:val="00044886"/>
    <w:rPr>
      <w:sz w:val="16"/>
      <w:szCs w:val="16"/>
    </w:rPr>
  </w:style>
  <w:style w:type="paragraph" w:customStyle="1" w:styleId="EYBodytextwithparaspace">
    <w:name w:val="EY Body text (with para space)"/>
    <w:basedOn w:val="Normal"/>
    <w:link w:val="EYBodytextwithparaspaceChar"/>
    <w:qFormat/>
    <w:rsid w:val="00044886"/>
    <w:pPr>
      <w:tabs>
        <w:tab w:val="num" w:pos="0"/>
      </w:tabs>
      <w:spacing w:after="240" w:line="240" w:lineRule="auto"/>
      <w:jc w:val="both"/>
      <w:outlineLvl w:val="0"/>
    </w:pPr>
    <w:rPr>
      <w:rFonts w:ascii="EYInterstate Light" w:eastAsia="Times New Roman" w:hAnsi="EYInterstate Light" w:cs="Times New Roman"/>
      <w:kern w:val="12"/>
      <w:sz w:val="20"/>
      <w:szCs w:val="24"/>
      <w:lang w:val="en-GB"/>
    </w:rPr>
  </w:style>
  <w:style w:type="character" w:customStyle="1" w:styleId="EYBodytextwithparaspaceChar">
    <w:name w:val="EY Body text (with para space) Char"/>
    <w:basedOn w:val="DefaultParagraphFont"/>
    <w:link w:val="EYBodytextwithparaspace"/>
    <w:rsid w:val="00044886"/>
    <w:rPr>
      <w:rFonts w:ascii="EYInterstate Light" w:eastAsia="Times New Roman" w:hAnsi="EYInterstate Light" w:cs="Times New Roman"/>
      <w:kern w:val="12"/>
      <w:sz w:val="20"/>
      <w:szCs w:val="24"/>
      <w:lang w:val="en-GB"/>
    </w:rPr>
  </w:style>
  <w:style w:type="paragraph" w:styleId="CommentText">
    <w:name w:val="annotation text"/>
    <w:basedOn w:val="Normal"/>
    <w:link w:val="CommentTextChar"/>
    <w:uiPriority w:val="99"/>
    <w:semiHidden/>
    <w:unhideWhenUsed/>
    <w:rsid w:val="00482CF6"/>
    <w:pPr>
      <w:spacing w:line="240" w:lineRule="auto"/>
    </w:pPr>
    <w:rPr>
      <w:sz w:val="20"/>
      <w:szCs w:val="20"/>
    </w:rPr>
  </w:style>
  <w:style w:type="character" w:customStyle="1" w:styleId="CommentTextChar">
    <w:name w:val="Comment Text Char"/>
    <w:basedOn w:val="DefaultParagraphFont"/>
    <w:link w:val="CommentText"/>
    <w:uiPriority w:val="99"/>
    <w:semiHidden/>
    <w:rsid w:val="00482CF6"/>
    <w:rPr>
      <w:sz w:val="20"/>
      <w:szCs w:val="20"/>
    </w:rPr>
  </w:style>
  <w:style w:type="paragraph" w:styleId="CommentSubject">
    <w:name w:val="annotation subject"/>
    <w:basedOn w:val="CommentText"/>
    <w:next w:val="CommentText"/>
    <w:link w:val="CommentSubjectChar"/>
    <w:uiPriority w:val="99"/>
    <w:semiHidden/>
    <w:unhideWhenUsed/>
    <w:rsid w:val="00482CF6"/>
    <w:rPr>
      <w:b/>
      <w:bCs/>
    </w:rPr>
  </w:style>
  <w:style w:type="character" w:customStyle="1" w:styleId="CommentSubjectChar">
    <w:name w:val="Comment Subject Char"/>
    <w:basedOn w:val="CommentTextChar"/>
    <w:link w:val="CommentSubject"/>
    <w:uiPriority w:val="99"/>
    <w:semiHidden/>
    <w:rsid w:val="00482CF6"/>
    <w:rPr>
      <w:b/>
      <w:bCs/>
      <w:sz w:val="20"/>
      <w:szCs w:val="20"/>
    </w:rPr>
  </w:style>
  <w:style w:type="paragraph" w:styleId="Revision">
    <w:name w:val="Revision"/>
    <w:hidden/>
    <w:uiPriority w:val="99"/>
    <w:semiHidden/>
    <w:rsid w:val="00FC65A0"/>
    <w:pPr>
      <w:spacing w:after="0" w:line="240" w:lineRule="auto"/>
    </w:pPr>
  </w:style>
  <w:style w:type="paragraph" w:styleId="NormalWeb">
    <w:name w:val="Normal (Web)"/>
    <w:basedOn w:val="Normal"/>
    <w:uiPriority w:val="99"/>
    <w:unhideWhenUsed/>
    <w:rsid w:val="00184F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
    <w:name w:val="head"/>
    <w:basedOn w:val="Normal"/>
    <w:rsid w:val="00CF528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80072">
      <w:bodyDiv w:val="1"/>
      <w:marLeft w:val="0"/>
      <w:marRight w:val="0"/>
      <w:marTop w:val="0"/>
      <w:marBottom w:val="0"/>
      <w:divBdr>
        <w:top w:val="none" w:sz="0" w:space="0" w:color="auto"/>
        <w:left w:val="none" w:sz="0" w:space="0" w:color="auto"/>
        <w:bottom w:val="none" w:sz="0" w:space="0" w:color="auto"/>
        <w:right w:val="none" w:sz="0" w:space="0" w:color="auto"/>
      </w:divBdr>
    </w:div>
    <w:div w:id="1591625689">
      <w:bodyDiv w:val="1"/>
      <w:marLeft w:val="0"/>
      <w:marRight w:val="0"/>
      <w:marTop w:val="0"/>
      <w:marBottom w:val="0"/>
      <w:divBdr>
        <w:top w:val="none" w:sz="0" w:space="0" w:color="auto"/>
        <w:left w:val="none" w:sz="0" w:space="0" w:color="auto"/>
        <w:bottom w:val="none" w:sz="0" w:space="0" w:color="auto"/>
        <w:right w:val="none" w:sz="0" w:space="0" w:color="auto"/>
      </w:divBdr>
      <w:divsChild>
        <w:div w:id="1663123309">
          <w:marLeft w:val="0"/>
          <w:marRight w:val="0"/>
          <w:marTop w:val="0"/>
          <w:marBottom w:val="0"/>
          <w:divBdr>
            <w:top w:val="none" w:sz="0" w:space="0" w:color="auto"/>
            <w:left w:val="none" w:sz="0" w:space="0" w:color="auto"/>
            <w:bottom w:val="none" w:sz="0" w:space="0" w:color="auto"/>
            <w:right w:val="none" w:sz="0" w:space="0" w:color="auto"/>
          </w:divBdr>
        </w:div>
        <w:div w:id="1651904418">
          <w:marLeft w:val="0"/>
          <w:marRight w:val="0"/>
          <w:marTop w:val="0"/>
          <w:marBottom w:val="0"/>
          <w:divBdr>
            <w:top w:val="none" w:sz="0" w:space="0" w:color="auto"/>
            <w:left w:val="none" w:sz="0" w:space="0" w:color="auto"/>
            <w:bottom w:val="none" w:sz="0" w:space="0" w:color="auto"/>
            <w:right w:val="none" w:sz="0" w:space="0" w:color="auto"/>
          </w:divBdr>
        </w:div>
        <w:div w:id="1293638972">
          <w:marLeft w:val="0"/>
          <w:marRight w:val="0"/>
          <w:marTop w:val="0"/>
          <w:marBottom w:val="0"/>
          <w:divBdr>
            <w:top w:val="none" w:sz="0" w:space="0" w:color="auto"/>
            <w:left w:val="none" w:sz="0" w:space="0" w:color="auto"/>
            <w:bottom w:val="none" w:sz="0" w:space="0" w:color="auto"/>
            <w:right w:val="none" w:sz="0" w:space="0" w:color="auto"/>
          </w:divBdr>
        </w:div>
        <w:div w:id="1521355351">
          <w:marLeft w:val="0"/>
          <w:marRight w:val="0"/>
          <w:marTop w:val="0"/>
          <w:marBottom w:val="0"/>
          <w:divBdr>
            <w:top w:val="none" w:sz="0" w:space="0" w:color="auto"/>
            <w:left w:val="none" w:sz="0" w:space="0" w:color="auto"/>
            <w:bottom w:val="none" w:sz="0" w:space="0" w:color="auto"/>
            <w:right w:val="none" w:sz="0" w:space="0" w:color="auto"/>
          </w:divBdr>
        </w:div>
        <w:div w:id="893348027">
          <w:marLeft w:val="0"/>
          <w:marRight w:val="0"/>
          <w:marTop w:val="0"/>
          <w:marBottom w:val="0"/>
          <w:divBdr>
            <w:top w:val="none" w:sz="0" w:space="0" w:color="auto"/>
            <w:left w:val="none" w:sz="0" w:space="0" w:color="auto"/>
            <w:bottom w:val="none" w:sz="0" w:space="0" w:color="auto"/>
            <w:right w:val="none" w:sz="0" w:space="0" w:color="auto"/>
          </w:divBdr>
        </w:div>
        <w:div w:id="2082099555">
          <w:marLeft w:val="0"/>
          <w:marRight w:val="0"/>
          <w:marTop w:val="0"/>
          <w:marBottom w:val="0"/>
          <w:divBdr>
            <w:top w:val="none" w:sz="0" w:space="0" w:color="auto"/>
            <w:left w:val="none" w:sz="0" w:space="0" w:color="auto"/>
            <w:bottom w:val="none" w:sz="0" w:space="0" w:color="auto"/>
            <w:right w:val="none" w:sz="0" w:space="0" w:color="auto"/>
          </w:divBdr>
        </w:div>
        <w:div w:id="1974554177">
          <w:marLeft w:val="0"/>
          <w:marRight w:val="0"/>
          <w:marTop w:val="0"/>
          <w:marBottom w:val="0"/>
          <w:divBdr>
            <w:top w:val="none" w:sz="0" w:space="0" w:color="auto"/>
            <w:left w:val="none" w:sz="0" w:space="0" w:color="auto"/>
            <w:bottom w:val="none" w:sz="0" w:space="0" w:color="auto"/>
            <w:right w:val="none" w:sz="0" w:space="0" w:color="auto"/>
          </w:divBdr>
        </w:div>
        <w:div w:id="866530383">
          <w:marLeft w:val="0"/>
          <w:marRight w:val="0"/>
          <w:marTop w:val="0"/>
          <w:marBottom w:val="0"/>
          <w:divBdr>
            <w:top w:val="none" w:sz="0" w:space="0" w:color="auto"/>
            <w:left w:val="none" w:sz="0" w:space="0" w:color="auto"/>
            <w:bottom w:val="none" w:sz="0" w:space="0" w:color="auto"/>
            <w:right w:val="none" w:sz="0" w:space="0" w:color="auto"/>
          </w:divBdr>
        </w:div>
        <w:div w:id="1113935363">
          <w:marLeft w:val="0"/>
          <w:marRight w:val="0"/>
          <w:marTop w:val="0"/>
          <w:marBottom w:val="0"/>
          <w:divBdr>
            <w:top w:val="none" w:sz="0" w:space="0" w:color="auto"/>
            <w:left w:val="none" w:sz="0" w:space="0" w:color="auto"/>
            <w:bottom w:val="none" w:sz="0" w:space="0" w:color="auto"/>
            <w:right w:val="none" w:sz="0" w:space="0" w:color="auto"/>
          </w:divBdr>
        </w:div>
        <w:div w:id="1787965422">
          <w:marLeft w:val="0"/>
          <w:marRight w:val="0"/>
          <w:marTop w:val="0"/>
          <w:marBottom w:val="0"/>
          <w:divBdr>
            <w:top w:val="none" w:sz="0" w:space="0" w:color="auto"/>
            <w:left w:val="none" w:sz="0" w:space="0" w:color="auto"/>
            <w:bottom w:val="none" w:sz="0" w:space="0" w:color="auto"/>
            <w:right w:val="none" w:sz="0" w:space="0" w:color="auto"/>
          </w:divBdr>
        </w:div>
        <w:div w:id="1087388064">
          <w:marLeft w:val="0"/>
          <w:marRight w:val="0"/>
          <w:marTop w:val="0"/>
          <w:marBottom w:val="0"/>
          <w:divBdr>
            <w:top w:val="none" w:sz="0" w:space="0" w:color="auto"/>
            <w:left w:val="none" w:sz="0" w:space="0" w:color="auto"/>
            <w:bottom w:val="none" w:sz="0" w:space="0" w:color="auto"/>
            <w:right w:val="none" w:sz="0" w:space="0" w:color="auto"/>
          </w:divBdr>
        </w:div>
        <w:div w:id="1039430152">
          <w:marLeft w:val="0"/>
          <w:marRight w:val="0"/>
          <w:marTop w:val="0"/>
          <w:marBottom w:val="0"/>
          <w:divBdr>
            <w:top w:val="none" w:sz="0" w:space="0" w:color="auto"/>
            <w:left w:val="none" w:sz="0" w:space="0" w:color="auto"/>
            <w:bottom w:val="none" w:sz="0" w:space="0" w:color="auto"/>
            <w:right w:val="none" w:sz="0" w:space="0" w:color="auto"/>
          </w:divBdr>
        </w:div>
        <w:div w:id="1216892007">
          <w:marLeft w:val="0"/>
          <w:marRight w:val="0"/>
          <w:marTop w:val="0"/>
          <w:marBottom w:val="0"/>
          <w:divBdr>
            <w:top w:val="none" w:sz="0" w:space="0" w:color="auto"/>
            <w:left w:val="none" w:sz="0" w:space="0" w:color="auto"/>
            <w:bottom w:val="none" w:sz="0" w:space="0" w:color="auto"/>
            <w:right w:val="none" w:sz="0" w:space="0" w:color="auto"/>
          </w:divBdr>
        </w:div>
        <w:div w:id="431633012">
          <w:marLeft w:val="0"/>
          <w:marRight w:val="0"/>
          <w:marTop w:val="0"/>
          <w:marBottom w:val="0"/>
          <w:divBdr>
            <w:top w:val="none" w:sz="0" w:space="0" w:color="auto"/>
            <w:left w:val="none" w:sz="0" w:space="0" w:color="auto"/>
            <w:bottom w:val="none" w:sz="0" w:space="0" w:color="auto"/>
            <w:right w:val="none" w:sz="0" w:space="0" w:color="auto"/>
          </w:divBdr>
        </w:div>
        <w:div w:id="411321384">
          <w:marLeft w:val="0"/>
          <w:marRight w:val="0"/>
          <w:marTop w:val="0"/>
          <w:marBottom w:val="0"/>
          <w:divBdr>
            <w:top w:val="none" w:sz="0" w:space="0" w:color="auto"/>
            <w:left w:val="none" w:sz="0" w:space="0" w:color="auto"/>
            <w:bottom w:val="none" w:sz="0" w:space="0" w:color="auto"/>
            <w:right w:val="none" w:sz="0" w:space="0" w:color="auto"/>
          </w:divBdr>
        </w:div>
      </w:divsChild>
    </w:div>
    <w:div w:id="1840120434">
      <w:bodyDiv w:val="1"/>
      <w:marLeft w:val="0"/>
      <w:marRight w:val="0"/>
      <w:marTop w:val="0"/>
      <w:marBottom w:val="0"/>
      <w:divBdr>
        <w:top w:val="none" w:sz="0" w:space="0" w:color="auto"/>
        <w:left w:val="none" w:sz="0" w:space="0" w:color="auto"/>
        <w:bottom w:val="none" w:sz="0" w:space="0" w:color="auto"/>
        <w:right w:val="none" w:sz="0" w:space="0" w:color="auto"/>
      </w:divBdr>
      <w:divsChild>
        <w:div w:id="742408652">
          <w:marLeft w:val="0"/>
          <w:marRight w:val="0"/>
          <w:marTop w:val="0"/>
          <w:marBottom w:val="0"/>
          <w:divBdr>
            <w:top w:val="none" w:sz="0" w:space="0" w:color="auto"/>
            <w:left w:val="none" w:sz="0" w:space="0" w:color="auto"/>
            <w:bottom w:val="none" w:sz="0" w:space="0" w:color="auto"/>
            <w:right w:val="none" w:sz="0" w:space="0" w:color="auto"/>
          </w:divBdr>
        </w:div>
        <w:div w:id="1235580055">
          <w:marLeft w:val="0"/>
          <w:marRight w:val="0"/>
          <w:marTop w:val="0"/>
          <w:marBottom w:val="0"/>
          <w:divBdr>
            <w:top w:val="none" w:sz="0" w:space="0" w:color="auto"/>
            <w:left w:val="none" w:sz="0" w:space="0" w:color="auto"/>
            <w:bottom w:val="none" w:sz="0" w:space="0" w:color="auto"/>
            <w:right w:val="none" w:sz="0" w:space="0" w:color="auto"/>
          </w:divBdr>
        </w:div>
        <w:div w:id="1848783468">
          <w:marLeft w:val="0"/>
          <w:marRight w:val="0"/>
          <w:marTop w:val="0"/>
          <w:marBottom w:val="0"/>
          <w:divBdr>
            <w:top w:val="none" w:sz="0" w:space="0" w:color="auto"/>
            <w:left w:val="none" w:sz="0" w:space="0" w:color="auto"/>
            <w:bottom w:val="none" w:sz="0" w:space="0" w:color="auto"/>
            <w:right w:val="none" w:sz="0" w:space="0" w:color="auto"/>
          </w:divBdr>
        </w:div>
        <w:div w:id="2087922123">
          <w:marLeft w:val="0"/>
          <w:marRight w:val="0"/>
          <w:marTop w:val="0"/>
          <w:marBottom w:val="0"/>
          <w:divBdr>
            <w:top w:val="none" w:sz="0" w:space="0" w:color="auto"/>
            <w:left w:val="none" w:sz="0" w:space="0" w:color="auto"/>
            <w:bottom w:val="none" w:sz="0" w:space="0" w:color="auto"/>
            <w:right w:val="none" w:sz="0" w:space="0" w:color="auto"/>
          </w:divBdr>
        </w:div>
        <w:div w:id="1544560211">
          <w:marLeft w:val="0"/>
          <w:marRight w:val="0"/>
          <w:marTop w:val="0"/>
          <w:marBottom w:val="0"/>
          <w:divBdr>
            <w:top w:val="none" w:sz="0" w:space="0" w:color="auto"/>
            <w:left w:val="none" w:sz="0" w:space="0" w:color="auto"/>
            <w:bottom w:val="none" w:sz="0" w:space="0" w:color="auto"/>
            <w:right w:val="none" w:sz="0" w:space="0" w:color="auto"/>
          </w:divBdr>
        </w:div>
        <w:div w:id="1704015127">
          <w:marLeft w:val="0"/>
          <w:marRight w:val="0"/>
          <w:marTop w:val="0"/>
          <w:marBottom w:val="0"/>
          <w:divBdr>
            <w:top w:val="none" w:sz="0" w:space="0" w:color="auto"/>
            <w:left w:val="none" w:sz="0" w:space="0" w:color="auto"/>
            <w:bottom w:val="none" w:sz="0" w:space="0" w:color="auto"/>
            <w:right w:val="none" w:sz="0" w:space="0" w:color="auto"/>
          </w:divBdr>
        </w:div>
        <w:div w:id="1326322204">
          <w:marLeft w:val="0"/>
          <w:marRight w:val="0"/>
          <w:marTop w:val="0"/>
          <w:marBottom w:val="0"/>
          <w:divBdr>
            <w:top w:val="none" w:sz="0" w:space="0" w:color="auto"/>
            <w:left w:val="none" w:sz="0" w:space="0" w:color="auto"/>
            <w:bottom w:val="none" w:sz="0" w:space="0" w:color="auto"/>
            <w:right w:val="none" w:sz="0" w:space="0" w:color="auto"/>
          </w:divBdr>
        </w:div>
        <w:div w:id="1247298989">
          <w:marLeft w:val="0"/>
          <w:marRight w:val="0"/>
          <w:marTop w:val="0"/>
          <w:marBottom w:val="0"/>
          <w:divBdr>
            <w:top w:val="none" w:sz="0" w:space="0" w:color="auto"/>
            <w:left w:val="none" w:sz="0" w:space="0" w:color="auto"/>
            <w:bottom w:val="none" w:sz="0" w:space="0" w:color="auto"/>
            <w:right w:val="none" w:sz="0" w:space="0" w:color="auto"/>
          </w:divBdr>
        </w:div>
        <w:div w:id="649477606">
          <w:marLeft w:val="0"/>
          <w:marRight w:val="0"/>
          <w:marTop w:val="0"/>
          <w:marBottom w:val="0"/>
          <w:divBdr>
            <w:top w:val="none" w:sz="0" w:space="0" w:color="auto"/>
            <w:left w:val="none" w:sz="0" w:space="0" w:color="auto"/>
            <w:bottom w:val="none" w:sz="0" w:space="0" w:color="auto"/>
            <w:right w:val="none" w:sz="0" w:space="0" w:color="auto"/>
          </w:divBdr>
        </w:div>
        <w:div w:id="891038970">
          <w:marLeft w:val="0"/>
          <w:marRight w:val="0"/>
          <w:marTop w:val="0"/>
          <w:marBottom w:val="0"/>
          <w:divBdr>
            <w:top w:val="none" w:sz="0" w:space="0" w:color="auto"/>
            <w:left w:val="none" w:sz="0" w:space="0" w:color="auto"/>
            <w:bottom w:val="none" w:sz="0" w:space="0" w:color="auto"/>
            <w:right w:val="none" w:sz="0" w:space="0" w:color="auto"/>
          </w:divBdr>
        </w:div>
        <w:div w:id="431824202">
          <w:marLeft w:val="0"/>
          <w:marRight w:val="0"/>
          <w:marTop w:val="0"/>
          <w:marBottom w:val="0"/>
          <w:divBdr>
            <w:top w:val="none" w:sz="0" w:space="0" w:color="auto"/>
            <w:left w:val="none" w:sz="0" w:space="0" w:color="auto"/>
            <w:bottom w:val="none" w:sz="0" w:space="0" w:color="auto"/>
            <w:right w:val="none" w:sz="0" w:space="0" w:color="auto"/>
          </w:divBdr>
        </w:div>
        <w:div w:id="566116114">
          <w:marLeft w:val="0"/>
          <w:marRight w:val="0"/>
          <w:marTop w:val="0"/>
          <w:marBottom w:val="0"/>
          <w:divBdr>
            <w:top w:val="none" w:sz="0" w:space="0" w:color="auto"/>
            <w:left w:val="none" w:sz="0" w:space="0" w:color="auto"/>
            <w:bottom w:val="none" w:sz="0" w:space="0" w:color="auto"/>
            <w:right w:val="none" w:sz="0" w:space="0" w:color="auto"/>
          </w:divBdr>
        </w:div>
        <w:div w:id="646125550">
          <w:marLeft w:val="0"/>
          <w:marRight w:val="0"/>
          <w:marTop w:val="0"/>
          <w:marBottom w:val="0"/>
          <w:divBdr>
            <w:top w:val="none" w:sz="0" w:space="0" w:color="auto"/>
            <w:left w:val="none" w:sz="0" w:space="0" w:color="auto"/>
            <w:bottom w:val="none" w:sz="0" w:space="0" w:color="auto"/>
            <w:right w:val="none" w:sz="0" w:space="0" w:color="auto"/>
          </w:divBdr>
        </w:div>
        <w:div w:id="598762055">
          <w:marLeft w:val="0"/>
          <w:marRight w:val="0"/>
          <w:marTop w:val="0"/>
          <w:marBottom w:val="0"/>
          <w:divBdr>
            <w:top w:val="none" w:sz="0" w:space="0" w:color="auto"/>
            <w:left w:val="none" w:sz="0" w:space="0" w:color="auto"/>
            <w:bottom w:val="none" w:sz="0" w:space="0" w:color="auto"/>
            <w:right w:val="none" w:sz="0" w:space="0" w:color="auto"/>
          </w:divBdr>
        </w:div>
        <w:div w:id="1462265553">
          <w:marLeft w:val="0"/>
          <w:marRight w:val="0"/>
          <w:marTop w:val="0"/>
          <w:marBottom w:val="0"/>
          <w:divBdr>
            <w:top w:val="none" w:sz="0" w:space="0" w:color="auto"/>
            <w:left w:val="none" w:sz="0" w:space="0" w:color="auto"/>
            <w:bottom w:val="none" w:sz="0" w:space="0" w:color="auto"/>
            <w:right w:val="none" w:sz="0" w:space="0" w:color="auto"/>
          </w:divBdr>
        </w:div>
        <w:div w:id="226381064">
          <w:marLeft w:val="0"/>
          <w:marRight w:val="0"/>
          <w:marTop w:val="0"/>
          <w:marBottom w:val="0"/>
          <w:divBdr>
            <w:top w:val="none" w:sz="0" w:space="0" w:color="auto"/>
            <w:left w:val="none" w:sz="0" w:space="0" w:color="auto"/>
            <w:bottom w:val="none" w:sz="0" w:space="0" w:color="auto"/>
            <w:right w:val="none" w:sz="0" w:space="0" w:color="auto"/>
          </w:divBdr>
        </w:div>
        <w:div w:id="1577130437">
          <w:marLeft w:val="0"/>
          <w:marRight w:val="0"/>
          <w:marTop w:val="0"/>
          <w:marBottom w:val="0"/>
          <w:divBdr>
            <w:top w:val="none" w:sz="0" w:space="0" w:color="auto"/>
            <w:left w:val="none" w:sz="0" w:space="0" w:color="auto"/>
            <w:bottom w:val="none" w:sz="0" w:space="0" w:color="auto"/>
            <w:right w:val="none" w:sz="0" w:space="0" w:color="auto"/>
          </w:divBdr>
        </w:div>
        <w:div w:id="883441234">
          <w:marLeft w:val="0"/>
          <w:marRight w:val="0"/>
          <w:marTop w:val="0"/>
          <w:marBottom w:val="0"/>
          <w:divBdr>
            <w:top w:val="none" w:sz="0" w:space="0" w:color="auto"/>
            <w:left w:val="none" w:sz="0" w:space="0" w:color="auto"/>
            <w:bottom w:val="none" w:sz="0" w:space="0" w:color="auto"/>
            <w:right w:val="none" w:sz="0" w:space="0" w:color="auto"/>
          </w:divBdr>
        </w:div>
        <w:div w:id="1880699783">
          <w:marLeft w:val="0"/>
          <w:marRight w:val="0"/>
          <w:marTop w:val="0"/>
          <w:marBottom w:val="0"/>
          <w:divBdr>
            <w:top w:val="none" w:sz="0" w:space="0" w:color="auto"/>
            <w:left w:val="none" w:sz="0" w:space="0" w:color="auto"/>
            <w:bottom w:val="none" w:sz="0" w:space="0" w:color="auto"/>
            <w:right w:val="none" w:sz="0" w:space="0" w:color="auto"/>
          </w:divBdr>
        </w:div>
        <w:div w:id="1600945578">
          <w:marLeft w:val="0"/>
          <w:marRight w:val="0"/>
          <w:marTop w:val="0"/>
          <w:marBottom w:val="0"/>
          <w:divBdr>
            <w:top w:val="none" w:sz="0" w:space="0" w:color="auto"/>
            <w:left w:val="none" w:sz="0" w:space="0" w:color="auto"/>
            <w:bottom w:val="none" w:sz="0" w:space="0" w:color="auto"/>
            <w:right w:val="none" w:sz="0" w:space="0" w:color="auto"/>
          </w:divBdr>
        </w:div>
        <w:div w:id="441415441">
          <w:marLeft w:val="0"/>
          <w:marRight w:val="0"/>
          <w:marTop w:val="0"/>
          <w:marBottom w:val="0"/>
          <w:divBdr>
            <w:top w:val="none" w:sz="0" w:space="0" w:color="auto"/>
            <w:left w:val="none" w:sz="0" w:space="0" w:color="auto"/>
            <w:bottom w:val="none" w:sz="0" w:space="0" w:color="auto"/>
            <w:right w:val="none" w:sz="0" w:space="0" w:color="auto"/>
          </w:divBdr>
        </w:div>
        <w:div w:id="2054770990">
          <w:marLeft w:val="0"/>
          <w:marRight w:val="0"/>
          <w:marTop w:val="0"/>
          <w:marBottom w:val="0"/>
          <w:divBdr>
            <w:top w:val="none" w:sz="0" w:space="0" w:color="auto"/>
            <w:left w:val="none" w:sz="0" w:space="0" w:color="auto"/>
            <w:bottom w:val="none" w:sz="0" w:space="0" w:color="auto"/>
            <w:right w:val="none" w:sz="0" w:space="0" w:color="auto"/>
          </w:divBdr>
        </w:div>
        <w:div w:id="1990555734">
          <w:marLeft w:val="0"/>
          <w:marRight w:val="0"/>
          <w:marTop w:val="0"/>
          <w:marBottom w:val="0"/>
          <w:divBdr>
            <w:top w:val="none" w:sz="0" w:space="0" w:color="auto"/>
            <w:left w:val="none" w:sz="0" w:space="0" w:color="auto"/>
            <w:bottom w:val="none" w:sz="0" w:space="0" w:color="auto"/>
            <w:right w:val="none" w:sz="0" w:space="0" w:color="auto"/>
          </w:divBdr>
        </w:div>
        <w:div w:id="518736613">
          <w:marLeft w:val="0"/>
          <w:marRight w:val="0"/>
          <w:marTop w:val="0"/>
          <w:marBottom w:val="0"/>
          <w:divBdr>
            <w:top w:val="none" w:sz="0" w:space="0" w:color="auto"/>
            <w:left w:val="none" w:sz="0" w:space="0" w:color="auto"/>
            <w:bottom w:val="none" w:sz="0" w:space="0" w:color="auto"/>
            <w:right w:val="none" w:sz="0" w:space="0" w:color="auto"/>
          </w:divBdr>
        </w:div>
        <w:div w:id="1173882424">
          <w:marLeft w:val="0"/>
          <w:marRight w:val="0"/>
          <w:marTop w:val="0"/>
          <w:marBottom w:val="0"/>
          <w:divBdr>
            <w:top w:val="none" w:sz="0" w:space="0" w:color="auto"/>
            <w:left w:val="none" w:sz="0" w:space="0" w:color="auto"/>
            <w:bottom w:val="none" w:sz="0" w:space="0" w:color="auto"/>
            <w:right w:val="none" w:sz="0" w:space="0" w:color="auto"/>
          </w:divBdr>
        </w:div>
        <w:div w:id="268047043">
          <w:marLeft w:val="0"/>
          <w:marRight w:val="0"/>
          <w:marTop w:val="0"/>
          <w:marBottom w:val="0"/>
          <w:divBdr>
            <w:top w:val="none" w:sz="0" w:space="0" w:color="auto"/>
            <w:left w:val="none" w:sz="0" w:space="0" w:color="auto"/>
            <w:bottom w:val="none" w:sz="0" w:space="0" w:color="auto"/>
            <w:right w:val="none" w:sz="0" w:space="0" w:color="auto"/>
          </w:divBdr>
        </w:div>
        <w:div w:id="1146359979">
          <w:marLeft w:val="0"/>
          <w:marRight w:val="0"/>
          <w:marTop w:val="0"/>
          <w:marBottom w:val="0"/>
          <w:divBdr>
            <w:top w:val="none" w:sz="0" w:space="0" w:color="auto"/>
            <w:left w:val="none" w:sz="0" w:space="0" w:color="auto"/>
            <w:bottom w:val="none" w:sz="0" w:space="0" w:color="auto"/>
            <w:right w:val="none" w:sz="0" w:space="0" w:color="auto"/>
          </w:divBdr>
        </w:div>
        <w:div w:id="1827816651">
          <w:marLeft w:val="0"/>
          <w:marRight w:val="0"/>
          <w:marTop w:val="0"/>
          <w:marBottom w:val="0"/>
          <w:divBdr>
            <w:top w:val="none" w:sz="0" w:space="0" w:color="auto"/>
            <w:left w:val="none" w:sz="0" w:space="0" w:color="auto"/>
            <w:bottom w:val="none" w:sz="0" w:space="0" w:color="auto"/>
            <w:right w:val="none" w:sz="0" w:space="0" w:color="auto"/>
          </w:divBdr>
        </w:div>
        <w:div w:id="894858504">
          <w:marLeft w:val="0"/>
          <w:marRight w:val="0"/>
          <w:marTop w:val="0"/>
          <w:marBottom w:val="0"/>
          <w:divBdr>
            <w:top w:val="none" w:sz="0" w:space="0" w:color="auto"/>
            <w:left w:val="none" w:sz="0" w:space="0" w:color="auto"/>
            <w:bottom w:val="none" w:sz="0" w:space="0" w:color="auto"/>
            <w:right w:val="none" w:sz="0" w:space="0" w:color="auto"/>
          </w:divBdr>
        </w:div>
        <w:div w:id="1412509646">
          <w:marLeft w:val="0"/>
          <w:marRight w:val="0"/>
          <w:marTop w:val="0"/>
          <w:marBottom w:val="0"/>
          <w:divBdr>
            <w:top w:val="none" w:sz="0" w:space="0" w:color="auto"/>
            <w:left w:val="none" w:sz="0" w:space="0" w:color="auto"/>
            <w:bottom w:val="none" w:sz="0" w:space="0" w:color="auto"/>
            <w:right w:val="none" w:sz="0" w:space="0" w:color="auto"/>
          </w:divBdr>
        </w:div>
        <w:div w:id="194973862">
          <w:marLeft w:val="0"/>
          <w:marRight w:val="0"/>
          <w:marTop w:val="0"/>
          <w:marBottom w:val="0"/>
          <w:divBdr>
            <w:top w:val="none" w:sz="0" w:space="0" w:color="auto"/>
            <w:left w:val="none" w:sz="0" w:space="0" w:color="auto"/>
            <w:bottom w:val="none" w:sz="0" w:space="0" w:color="auto"/>
            <w:right w:val="none" w:sz="0" w:space="0" w:color="auto"/>
          </w:divBdr>
        </w:div>
        <w:div w:id="712772513">
          <w:marLeft w:val="0"/>
          <w:marRight w:val="0"/>
          <w:marTop w:val="0"/>
          <w:marBottom w:val="0"/>
          <w:divBdr>
            <w:top w:val="none" w:sz="0" w:space="0" w:color="auto"/>
            <w:left w:val="none" w:sz="0" w:space="0" w:color="auto"/>
            <w:bottom w:val="none" w:sz="0" w:space="0" w:color="auto"/>
            <w:right w:val="none" w:sz="0" w:space="0" w:color="auto"/>
          </w:divBdr>
        </w:div>
        <w:div w:id="557278529">
          <w:marLeft w:val="0"/>
          <w:marRight w:val="0"/>
          <w:marTop w:val="0"/>
          <w:marBottom w:val="0"/>
          <w:divBdr>
            <w:top w:val="none" w:sz="0" w:space="0" w:color="auto"/>
            <w:left w:val="none" w:sz="0" w:space="0" w:color="auto"/>
            <w:bottom w:val="none" w:sz="0" w:space="0" w:color="auto"/>
            <w:right w:val="none" w:sz="0" w:space="0" w:color="auto"/>
          </w:divBdr>
        </w:div>
        <w:div w:id="117460357">
          <w:marLeft w:val="0"/>
          <w:marRight w:val="0"/>
          <w:marTop w:val="0"/>
          <w:marBottom w:val="0"/>
          <w:divBdr>
            <w:top w:val="none" w:sz="0" w:space="0" w:color="auto"/>
            <w:left w:val="none" w:sz="0" w:space="0" w:color="auto"/>
            <w:bottom w:val="none" w:sz="0" w:space="0" w:color="auto"/>
            <w:right w:val="none" w:sz="0" w:space="0" w:color="auto"/>
          </w:divBdr>
        </w:div>
        <w:div w:id="98256684">
          <w:marLeft w:val="0"/>
          <w:marRight w:val="0"/>
          <w:marTop w:val="0"/>
          <w:marBottom w:val="0"/>
          <w:divBdr>
            <w:top w:val="none" w:sz="0" w:space="0" w:color="auto"/>
            <w:left w:val="none" w:sz="0" w:space="0" w:color="auto"/>
            <w:bottom w:val="none" w:sz="0" w:space="0" w:color="auto"/>
            <w:right w:val="none" w:sz="0" w:space="0" w:color="auto"/>
          </w:divBdr>
        </w:div>
        <w:div w:id="1949585331">
          <w:marLeft w:val="0"/>
          <w:marRight w:val="0"/>
          <w:marTop w:val="0"/>
          <w:marBottom w:val="0"/>
          <w:divBdr>
            <w:top w:val="none" w:sz="0" w:space="0" w:color="auto"/>
            <w:left w:val="none" w:sz="0" w:space="0" w:color="auto"/>
            <w:bottom w:val="none" w:sz="0" w:space="0" w:color="auto"/>
            <w:right w:val="none" w:sz="0" w:space="0" w:color="auto"/>
          </w:divBdr>
        </w:div>
        <w:div w:id="831409722">
          <w:marLeft w:val="0"/>
          <w:marRight w:val="0"/>
          <w:marTop w:val="0"/>
          <w:marBottom w:val="0"/>
          <w:divBdr>
            <w:top w:val="none" w:sz="0" w:space="0" w:color="auto"/>
            <w:left w:val="none" w:sz="0" w:space="0" w:color="auto"/>
            <w:bottom w:val="none" w:sz="0" w:space="0" w:color="auto"/>
            <w:right w:val="none" w:sz="0" w:space="0" w:color="auto"/>
          </w:divBdr>
        </w:div>
        <w:div w:id="725836635">
          <w:marLeft w:val="0"/>
          <w:marRight w:val="0"/>
          <w:marTop w:val="0"/>
          <w:marBottom w:val="0"/>
          <w:divBdr>
            <w:top w:val="none" w:sz="0" w:space="0" w:color="auto"/>
            <w:left w:val="none" w:sz="0" w:space="0" w:color="auto"/>
            <w:bottom w:val="none" w:sz="0" w:space="0" w:color="auto"/>
            <w:right w:val="none" w:sz="0" w:space="0" w:color="auto"/>
          </w:divBdr>
        </w:div>
        <w:div w:id="1142455997">
          <w:marLeft w:val="0"/>
          <w:marRight w:val="0"/>
          <w:marTop w:val="0"/>
          <w:marBottom w:val="0"/>
          <w:divBdr>
            <w:top w:val="none" w:sz="0" w:space="0" w:color="auto"/>
            <w:left w:val="none" w:sz="0" w:space="0" w:color="auto"/>
            <w:bottom w:val="none" w:sz="0" w:space="0" w:color="auto"/>
            <w:right w:val="none" w:sz="0" w:space="0" w:color="auto"/>
          </w:divBdr>
        </w:div>
        <w:div w:id="1132291108">
          <w:marLeft w:val="0"/>
          <w:marRight w:val="0"/>
          <w:marTop w:val="0"/>
          <w:marBottom w:val="0"/>
          <w:divBdr>
            <w:top w:val="none" w:sz="0" w:space="0" w:color="auto"/>
            <w:left w:val="none" w:sz="0" w:space="0" w:color="auto"/>
            <w:bottom w:val="none" w:sz="0" w:space="0" w:color="auto"/>
            <w:right w:val="none" w:sz="0" w:space="0" w:color="auto"/>
          </w:divBdr>
        </w:div>
        <w:div w:id="1641767843">
          <w:marLeft w:val="0"/>
          <w:marRight w:val="0"/>
          <w:marTop w:val="0"/>
          <w:marBottom w:val="0"/>
          <w:divBdr>
            <w:top w:val="none" w:sz="0" w:space="0" w:color="auto"/>
            <w:left w:val="none" w:sz="0" w:space="0" w:color="auto"/>
            <w:bottom w:val="none" w:sz="0" w:space="0" w:color="auto"/>
            <w:right w:val="none" w:sz="0" w:space="0" w:color="auto"/>
          </w:divBdr>
        </w:div>
        <w:div w:id="296303873">
          <w:marLeft w:val="0"/>
          <w:marRight w:val="0"/>
          <w:marTop w:val="0"/>
          <w:marBottom w:val="0"/>
          <w:divBdr>
            <w:top w:val="none" w:sz="0" w:space="0" w:color="auto"/>
            <w:left w:val="none" w:sz="0" w:space="0" w:color="auto"/>
            <w:bottom w:val="none" w:sz="0" w:space="0" w:color="auto"/>
            <w:right w:val="none" w:sz="0" w:space="0" w:color="auto"/>
          </w:divBdr>
        </w:div>
        <w:div w:id="1634753005">
          <w:marLeft w:val="0"/>
          <w:marRight w:val="0"/>
          <w:marTop w:val="0"/>
          <w:marBottom w:val="0"/>
          <w:divBdr>
            <w:top w:val="none" w:sz="0" w:space="0" w:color="auto"/>
            <w:left w:val="none" w:sz="0" w:space="0" w:color="auto"/>
            <w:bottom w:val="none" w:sz="0" w:space="0" w:color="auto"/>
            <w:right w:val="none" w:sz="0" w:space="0" w:color="auto"/>
          </w:divBdr>
        </w:div>
        <w:div w:id="124351101">
          <w:marLeft w:val="0"/>
          <w:marRight w:val="0"/>
          <w:marTop w:val="0"/>
          <w:marBottom w:val="0"/>
          <w:divBdr>
            <w:top w:val="none" w:sz="0" w:space="0" w:color="auto"/>
            <w:left w:val="none" w:sz="0" w:space="0" w:color="auto"/>
            <w:bottom w:val="none" w:sz="0" w:space="0" w:color="auto"/>
            <w:right w:val="none" w:sz="0" w:space="0" w:color="auto"/>
          </w:divBdr>
        </w:div>
        <w:div w:id="1642535842">
          <w:marLeft w:val="0"/>
          <w:marRight w:val="0"/>
          <w:marTop w:val="0"/>
          <w:marBottom w:val="0"/>
          <w:divBdr>
            <w:top w:val="none" w:sz="0" w:space="0" w:color="auto"/>
            <w:left w:val="none" w:sz="0" w:space="0" w:color="auto"/>
            <w:bottom w:val="none" w:sz="0" w:space="0" w:color="auto"/>
            <w:right w:val="none" w:sz="0" w:space="0" w:color="auto"/>
          </w:divBdr>
        </w:div>
        <w:div w:id="368721284">
          <w:marLeft w:val="0"/>
          <w:marRight w:val="0"/>
          <w:marTop w:val="0"/>
          <w:marBottom w:val="0"/>
          <w:divBdr>
            <w:top w:val="none" w:sz="0" w:space="0" w:color="auto"/>
            <w:left w:val="none" w:sz="0" w:space="0" w:color="auto"/>
            <w:bottom w:val="none" w:sz="0" w:space="0" w:color="auto"/>
            <w:right w:val="none" w:sz="0" w:space="0" w:color="auto"/>
          </w:divBdr>
        </w:div>
        <w:div w:id="2055808801">
          <w:marLeft w:val="0"/>
          <w:marRight w:val="0"/>
          <w:marTop w:val="0"/>
          <w:marBottom w:val="0"/>
          <w:divBdr>
            <w:top w:val="none" w:sz="0" w:space="0" w:color="auto"/>
            <w:left w:val="none" w:sz="0" w:space="0" w:color="auto"/>
            <w:bottom w:val="none" w:sz="0" w:space="0" w:color="auto"/>
            <w:right w:val="none" w:sz="0" w:space="0" w:color="auto"/>
          </w:divBdr>
        </w:div>
        <w:div w:id="860047504">
          <w:marLeft w:val="0"/>
          <w:marRight w:val="0"/>
          <w:marTop w:val="0"/>
          <w:marBottom w:val="0"/>
          <w:divBdr>
            <w:top w:val="none" w:sz="0" w:space="0" w:color="auto"/>
            <w:left w:val="none" w:sz="0" w:space="0" w:color="auto"/>
            <w:bottom w:val="none" w:sz="0" w:space="0" w:color="auto"/>
            <w:right w:val="none" w:sz="0" w:space="0" w:color="auto"/>
          </w:divBdr>
        </w:div>
        <w:div w:id="1296837122">
          <w:marLeft w:val="0"/>
          <w:marRight w:val="0"/>
          <w:marTop w:val="0"/>
          <w:marBottom w:val="0"/>
          <w:divBdr>
            <w:top w:val="none" w:sz="0" w:space="0" w:color="auto"/>
            <w:left w:val="none" w:sz="0" w:space="0" w:color="auto"/>
            <w:bottom w:val="none" w:sz="0" w:space="0" w:color="auto"/>
            <w:right w:val="none" w:sz="0" w:space="0" w:color="auto"/>
          </w:divBdr>
        </w:div>
        <w:div w:id="371156322">
          <w:marLeft w:val="0"/>
          <w:marRight w:val="0"/>
          <w:marTop w:val="0"/>
          <w:marBottom w:val="0"/>
          <w:divBdr>
            <w:top w:val="none" w:sz="0" w:space="0" w:color="auto"/>
            <w:left w:val="none" w:sz="0" w:space="0" w:color="auto"/>
            <w:bottom w:val="none" w:sz="0" w:space="0" w:color="auto"/>
            <w:right w:val="none" w:sz="0" w:space="0" w:color="auto"/>
          </w:divBdr>
        </w:div>
        <w:div w:id="2115324105">
          <w:marLeft w:val="0"/>
          <w:marRight w:val="0"/>
          <w:marTop w:val="0"/>
          <w:marBottom w:val="0"/>
          <w:divBdr>
            <w:top w:val="none" w:sz="0" w:space="0" w:color="auto"/>
            <w:left w:val="none" w:sz="0" w:space="0" w:color="auto"/>
            <w:bottom w:val="none" w:sz="0" w:space="0" w:color="auto"/>
            <w:right w:val="none" w:sz="0" w:space="0" w:color="auto"/>
          </w:divBdr>
        </w:div>
        <w:div w:id="1529220346">
          <w:marLeft w:val="0"/>
          <w:marRight w:val="0"/>
          <w:marTop w:val="0"/>
          <w:marBottom w:val="0"/>
          <w:divBdr>
            <w:top w:val="none" w:sz="0" w:space="0" w:color="auto"/>
            <w:left w:val="none" w:sz="0" w:space="0" w:color="auto"/>
            <w:bottom w:val="none" w:sz="0" w:space="0" w:color="auto"/>
            <w:right w:val="none" w:sz="0" w:space="0" w:color="auto"/>
          </w:divBdr>
        </w:div>
        <w:div w:id="1435636820">
          <w:marLeft w:val="0"/>
          <w:marRight w:val="0"/>
          <w:marTop w:val="0"/>
          <w:marBottom w:val="0"/>
          <w:divBdr>
            <w:top w:val="none" w:sz="0" w:space="0" w:color="auto"/>
            <w:left w:val="none" w:sz="0" w:space="0" w:color="auto"/>
            <w:bottom w:val="none" w:sz="0" w:space="0" w:color="auto"/>
            <w:right w:val="none" w:sz="0" w:space="0" w:color="auto"/>
          </w:divBdr>
        </w:div>
      </w:divsChild>
    </w:div>
    <w:div w:id="1917393779">
      <w:bodyDiv w:val="1"/>
      <w:marLeft w:val="0"/>
      <w:marRight w:val="0"/>
      <w:marTop w:val="0"/>
      <w:marBottom w:val="0"/>
      <w:divBdr>
        <w:top w:val="none" w:sz="0" w:space="0" w:color="auto"/>
        <w:left w:val="none" w:sz="0" w:space="0" w:color="auto"/>
        <w:bottom w:val="none" w:sz="0" w:space="0" w:color="auto"/>
        <w:right w:val="none" w:sz="0" w:space="0" w:color="auto"/>
      </w:divBdr>
    </w:div>
    <w:div w:id="2018998523">
      <w:bodyDiv w:val="1"/>
      <w:marLeft w:val="0"/>
      <w:marRight w:val="0"/>
      <w:marTop w:val="0"/>
      <w:marBottom w:val="0"/>
      <w:divBdr>
        <w:top w:val="none" w:sz="0" w:space="0" w:color="auto"/>
        <w:left w:val="none" w:sz="0" w:space="0" w:color="auto"/>
        <w:bottom w:val="none" w:sz="0" w:space="0" w:color="auto"/>
        <w:right w:val="none" w:sz="0" w:space="0" w:color="auto"/>
      </w:divBdr>
    </w:div>
    <w:div w:id="21138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5AC0-C372-4757-918A-901D64EB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NANDAKUMAR C G</dc:creator>
  <cp:lastModifiedBy>UMESH SINGH</cp:lastModifiedBy>
  <cp:revision>2</cp:revision>
  <cp:lastPrinted>2020-07-10T05:51:00Z</cp:lastPrinted>
  <dcterms:created xsi:type="dcterms:W3CDTF">2024-02-21T11:44:00Z</dcterms:created>
  <dcterms:modified xsi:type="dcterms:W3CDTF">2024-02-21T11:44:00Z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2022-10-26T03:23:23Z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4cb758c0-00c8-47e6-90e5-ba36aed15ab4</vt:lpwstr>
  </property>
  <property fmtid="{D5CDD505-2E9C-101B-9397-08002B2CF9AE}" pid="8" name="MSIP_Label_afe68139-55fe-47ac-b111-1b5dc606246f_ContentBits">
    <vt:lpwstr>0</vt:lpwstr>
  </property>
</Properties>
</file>