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790964" w14:textId="77777777" w:rsidR="00A06574" w:rsidRDefault="00A06574" w:rsidP="00A06574">
      <w:pPr>
        <w:pStyle w:val="BodyText"/>
        <w:rPr>
          <w:rFonts w:ascii="Times New Roman"/>
          <w:sz w:val="20"/>
        </w:rPr>
      </w:pPr>
      <w:bookmarkStart w:id="0" w:name="_GoBack"/>
      <w:bookmarkEnd w:id="0"/>
      <w:r>
        <w:rPr>
          <w:noProof/>
          <w:lang w:val="en-IN" w:eastAsia="en-IN" w:bidi="ar-SA"/>
        </w:rPr>
        <w:drawing>
          <wp:anchor distT="0" distB="0" distL="0" distR="0" simplePos="0" relativeHeight="251659264" behindDoc="0" locked="0" layoutInCell="1" allowOverlap="1" wp14:anchorId="1E73340B" wp14:editId="44A04B09">
            <wp:simplePos x="0" y="0"/>
            <wp:positionH relativeFrom="page">
              <wp:posOffset>1095755</wp:posOffset>
            </wp:positionH>
            <wp:positionV relativeFrom="page">
              <wp:posOffset>303276</wp:posOffset>
            </wp:positionV>
            <wp:extent cx="1100327" cy="339851"/>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100327" cy="339851"/>
                    </a:xfrm>
                    <a:prstGeom prst="rect">
                      <a:avLst/>
                    </a:prstGeom>
                  </pic:spPr>
                </pic:pic>
              </a:graphicData>
            </a:graphic>
          </wp:anchor>
        </w:drawing>
      </w:r>
    </w:p>
    <w:p w14:paraId="046A395E" w14:textId="77777777" w:rsidR="00A06574" w:rsidRDefault="00A06574" w:rsidP="00A06574">
      <w:pPr>
        <w:pStyle w:val="BodyText"/>
        <w:rPr>
          <w:rFonts w:ascii="Times New Roman"/>
          <w:sz w:val="20"/>
        </w:rPr>
      </w:pPr>
    </w:p>
    <w:p w14:paraId="7A277E52" w14:textId="77777777" w:rsidR="00A06574" w:rsidRDefault="00A06574" w:rsidP="00A06574">
      <w:pPr>
        <w:pStyle w:val="BodyText"/>
        <w:rPr>
          <w:rFonts w:ascii="Times New Roman"/>
          <w:sz w:val="20"/>
        </w:rPr>
      </w:pPr>
    </w:p>
    <w:p w14:paraId="58261250" w14:textId="77777777" w:rsidR="00A06574" w:rsidRDefault="00A06574" w:rsidP="00A06574">
      <w:pPr>
        <w:pStyle w:val="BodyText"/>
        <w:rPr>
          <w:rFonts w:ascii="Times New Roman"/>
          <w:sz w:val="20"/>
        </w:rPr>
      </w:pPr>
    </w:p>
    <w:p w14:paraId="47997116" w14:textId="77777777" w:rsidR="00A06574" w:rsidRDefault="00A06574" w:rsidP="00A06574">
      <w:pPr>
        <w:pStyle w:val="BodyText"/>
        <w:rPr>
          <w:rFonts w:ascii="Times New Roman"/>
          <w:sz w:val="20"/>
        </w:rPr>
      </w:pPr>
    </w:p>
    <w:p w14:paraId="649433A7" w14:textId="77777777" w:rsidR="00A06574" w:rsidRDefault="00A06574" w:rsidP="00A06574">
      <w:pPr>
        <w:pStyle w:val="BodyText"/>
        <w:rPr>
          <w:rFonts w:ascii="Times New Roman"/>
          <w:sz w:val="20"/>
        </w:rPr>
      </w:pPr>
    </w:p>
    <w:p w14:paraId="248E85A1" w14:textId="77777777" w:rsidR="00A06574" w:rsidRDefault="00A06574" w:rsidP="00A06574">
      <w:pPr>
        <w:pStyle w:val="BodyText"/>
        <w:rPr>
          <w:rFonts w:ascii="Times New Roman"/>
          <w:sz w:val="20"/>
        </w:rPr>
      </w:pPr>
    </w:p>
    <w:p w14:paraId="0AA943EA" w14:textId="77777777" w:rsidR="00A06574" w:rsidRDefault="00A06574" w:rsidP="00A06574">
      <w:pPr>
        <w:pStyle w:val="BodyText"/>
        <w:rPr>
          <w:rFonts w:ascii="Times New Roman"/>
          <w:sz w:val="20"/>
        </w:rPr>
      </w:pPr>
    </w:p>
    <w:p w14:paraId="1A9F13FE" w14:textId="77777777" w:rsidR="00A06574" w:rsidRDefault="00A06574" w:rsidP="00A06574">
      <w:pPr>
        <w:pStyle w:val="BodyText"/>
        <w:rPr>
          <w:rFonts w:ascii="Times New Roman"/>
          <w:sz w:val="20"/>
        </w:rPr>
      </w:pPr>
    </w:p>
    <w:p w14:paraId="63CEC2A6" w14:textId="77777777" w:rsidR="00A06574" w:rsidRDefault="00A06574" w:rsidP="00A06574">
      <w:pPr>
        <w:pStyle w:val="BodyText"/>
        <w:rPr>
          <w:rFonts w:ascii="Times New Roman"/>
          <w:sz w:val="20"/>
        </w:rPr>
      </w:pPr>
    </w:p>
    <w:p w14:paraId="0E0E502C" w14:textId="77777777" w:rsidR="00A06574" w:rsidRDefault="00A06574" w:rsidP="00A06574">
      <w:pPr>
        <w:pStyle w:val="BodyText"/>
        <w:rPr>
          <w:rFonts w:ascii="Times New Roman"/>
          <w:sz w:val="20"/>
        </w:rPr>
      </w:pPr>
    </w:p>
    <w:p w14:paraId="562650BF" w14:textId="77777777" w:rsidR="00A06574" w:rsidRDefault="00A06574" w:rsidP="00A06574">
      <w:pPr>
        <w:pStyle w:val="BodyText"/>
        <w:rPr>
          <w:rFonts w:ascii="Times New Roman"/>
          <w:sz w:val="20"/>
        </w:rPr>
      </w:pPr>
    </w:p>
    <w:p w14:paraId="16F48209" w14:textId="77777777" w:rsidR="00A06574" w:rsidRDefault="00A06574" w:rsidP="00A06574">
      <w:pPr>
        <w:pStyle w:val="BodyText"/>
        <w:rPr>
          <w:rFonts w:ascii="Times New Roman"/>
          <w:sz w:val="20"/>
        </w:rPr>
      </w:pPr>
    </w:p>
    <w:p w14:paraId="3D2D5428" w14:textId="77777777" w:rsidR="00A06574" w:rsidRDefault="00A06574" w:rsidP="00A06574">
      <w:pPr>
        <w:pStyle w:val="BodyText"/>
        <w:spacing w:before="10"/>
        <w:rPr>
          <w:rFonts w:ascii="Times New Roman"/>
          <w:sz w:val="18"/>
        </w:rPr>
      </w:pPr>
    </w:p>
    <w:p w14:paraId="0F0267EA" w14:textId="77777777" w:rsidR="00A06574" w:rsidRDefault="00A06574" w:rsidP="00A06574">
      <w:pPr>
        <w:spacing w:before="94" w:after="51" w:line="525" w:lineRule="auto"/>
        <w:ind w:left="2470" w:hanging="1474"/>
        <w:rPr>
          <w:b/>
          <w:sz w:val="37"/>
        </w:rPr>
      </w:pPr>
      <w:r>
        <w:rPr>
          <w:b/>
          <w:sz w:val="37"/>
        </w:rPr>
        <w:t>MANAPPURAM FINANCE LTD (MAFIL) INVESTMENT POLICY</w:t>
      </w:r>
    </w:p>
    <w:p w14:paraId="6A592644" w14:textId="77777777" w:rsidR="00A06574" w:rsidRDefault="00A06574" w:rsidP="00A06574">
      <w:pPr>
        <w:pStyle w:val="BodyText"/>
        <w:rPr>
          <w:b/>
          <w:sz w:val="20"/>
        </w:rPr>
      </w:pPr>
    </w:p>
    <w:p w14:paraId="791DE99F" w14:textId="77777777" w:rsidR="00A06574" w:rsidRDefault="00A06574" w:rsidP="00A06574">
      <w:pPr>
        <w:pStyle w:val="BodyText"/>
        <w:spacing w:before="10"/>
        <w:rPr>
          <w:b/>
          <w:sz w:val="19"/>
        </w:rPr>
      </w:pPr>
    </w:p>
    <w:p w14:paraId="0B9880AF" w14:textId="77777777" w:rsidR="00A06574" w:rsidRDefault="00A06574" w:rsidP="00A06574">
      <w:pPr>
        <w:pStyle w:val="BodyText"/>
        <w:spacing w:before="7"/>
        <w:rPr>
          <w:b/>
          <w:sz w:val="23"/>
        </w:rPr>
      </w:pPr>
    </w:p>
    <w:p w14:paraId="748D803B" w14:textId="77777777" w:rsidR="00A06574" w:rsidRDefault="00A06574" w:rsidP="00A06574">
      <w:pPr>
        <w:tabs>
          <w:tab w:val="left" w:pos="2815"/>
          <w:tab w:val="left" w:pos="3492"/>
        </w:tabs>
        <w:ind w:left="108"/>
        <w:rPr>
          <w:b/>
          <w:sz w:val="20"/>
        </w:rPr>
      </w:pPr>
      <w:r>
        <w:rPr>
          <w:b/>
          <w:w w:val="105"/>
          <w:sz w:val="20"/>
        </w:rPr>
        <w:t>Policy</w:t>
      </w:r>
      <w:r>
        <w:rPr>
          <w:b/>
          <w:spacing w:val="-7"/>
          <w:w w:val="105"/>
          <w:sz w:val="20"/>
        </w:rPr>
        <w:t xml:space="preserve"> </w:t>
      </w:r>
      <w:r>
        <w:rPr>
          <w:b/>
          <w:w w:val="105"/>
          <w:sz w:val="20"/>
        </w:rPr>
        <w:t>Owner</w:t>
      </w:r>
      <w:r>
        <w:rPr>
          <w:b/>
          <w:w w:val="105"/>
          <w:sz w:val="20"/>
        </w:rPr>
        <w:tab/>
        <w:t>:</w:t>
      </w:r>
      <w:r>
        <w:rPr>
          <w:b/>
          <w:w w:val="105"/>
          <w:sz w:val="20"/>
        </w:rPr>
        <w:tab/>
        <w:t>Treasury</w:t>
      </w:r>
    </w:p>
    <w:p w14:paraId="737D3C49" w14:textId="77777777" w:rsidR="00A06574" w:rsidRDefault="00A06574" w:rsidP="00A06574">
      <w:pPr>
        <w:pStyle w:val="BodyText"/>
        <w:spacing w:before="4"/>
        <w:rPr>
          <w:b/>
          <w:sz w:val="23"/>
        </w:rPr>
      </w:pPr>
    </w:p>
    <w:p w14:paraId="267EA93E" w14:textId="77777777" w:rsidR="00A06574" w:rsidRDefault="00A06574" w:rsidP="00A06574">
      <w:pPr>
        <w:pStyle w:val="BodyText"/>
        <w:spacing w:before="7"/>
        <w:rPr>
          <w:b/>
          <w:sz w:val="23"/>
        </w:rPr>
      </w:pPr>
    </w:p>
    <w:p w14:paraId="642F7894" w14:textId="77777777" w:rsidR="00A06574" w:rsidRDefault="00A06574" w:rsidP="00A06574">
      <w:pPr>
        <w:tabs>
          <w:tab w:val="left" w:pos="2814"/>
          <w:tab w:val="left" w:pos="3492"/>
        </w:tabs>
        <w:spacing w:before="1"/>
        <w:ind w:left="108"/>
        <w:rPr>
          <w:b/>
          <w:sz w:val="20"/>
        </w:rPr>
      </w:pPr>
      <w:r>
        <w:rPr>
          <w:b/>
          <w:w w:val="105"/>
          <w:sz w:val="20"/>
        </w:rPr>
        <w:t>Reviewed</w:t>
      </w:r>
      <w:r>
        <w:rPr>
          <w:b/>
          <w:spacing w:val="-10"/>
          <w:w w:val="105"/>
          <w:sz w:val="20"/>
        </w:rPr>
        <w:t xml:space="preserve"> </w:t>
      </w:r>
      <w:r>
        <w:rPr>
          <w:b/>
          <w:w w:val="105"/>
          <w:sz w:val="20"/>
        </w:rPr>
        <w:t>by</w:t>
      </w:r>
      <w:r>
        <w:rPr>
          <w:b/>
          <w:w w:val="105"/>
          <w:sz w:val="20"/>
        </w:rPr>
        <w:tab/>
        <w:t>:</w:t>
      </w:r>
      <w:r>
        <w:rPr>
          <w:b/>
          <w:w w:val="105"/>
          <w:sz w:val="20"/>
        </w:rPr>
        <w:tab/>
        <w:t>Policy Review Committee</w:t>
      </w:r>
    </w:p>
    <w:p w14:paraId="0C31A36E" w14:textId="77777777" w:rsidR="00A06574" w:rsidRDefault="00A06574" w:rsidP="00A06574">
      <w:pPr>
        <w:rPr>
          <w:b/>
          <w:sz w:val="20"/>
        </w:rPr>
      </w:pPr>
    </w:p>
    <w:p w14:paraId="67576862" w14:textId="77777777" w:rsidR="00A06574" w:rsidRDefault="00A06574" w:rsidP="00A06574">
      <w:pPr>
        <w:rPr>
          <w:b/>
          <w:sz w:val="20"/>
        </w:rPr>
      </w:pPr>
    </w:p>
    <w:p w14:paraId="1F4C6500" w14:textId="77777777" w:rsidR="00A06574" w:rsidRPr="00A06574" w:rsidRDefault="00A06574" w:rsidP="00A06574">
      <w:pPr>
        <w:tabs>
          <w:tab w:val="left" w:pos="2880"/>
        </w:tabs>
        <w:ind w:firstLine="90"/>
        <w:rPr>
          <w:b/>
          <w:sz w:val="20"/>
        </w:rPr>
      </w:pPr>
      <w:r w:rsidRPr="00A06574">
        <w:rPr>
          <w:b/>
          <w:sz w:val="20"/>
        </w:rPr>
        <w:t>Approved b</w:t>
      </w:r>
      <w:r>
        <w:rPr>
          <w:b/>
          <w:sz w:val="20"/>
        </w:rPr>
        <w:t xml:space="preserve">y                           </w:t>
      </w:r>
      <w:r w:rsidRPr="00A06574">
        <w:rPr>
          <w:b/>
          <w:sz w:val="20"/>
        </w:rPr>
        <w:t xml:space="preserve">:           Board </w:t>
      </w:r>
    </w:p>
    <w:p w14:paraId="50CB6BF8" w14:textId="77777777" w:rsidR="00A06574" w:rsidRPr="00A06574" w:rsidRDefault="00A06574" w:rsidP="00A06574">
      <w:pPr>
        <w:rPr>
          <w:b/>
          <w:sz w:val="20"/>
        </w:rPr>
      </w:pPr>
    </w:p>
    <w:p w14:paraId="26F9E110" w14:textId="77777777" w:rsidR="00A06574" w:rsidRPr="00A06574" w:rsidRDefault="00A06574" w:rsidP="00A06574">
      <w:pPr>
        <w:rPr>
          <w:b/>
          <w:sz w:val="20"/>
        </w:rPr>
      </w:pPr>
    </w:p>
    <w:p w14:paraId="5B3BDFBA" w14:textId="6DDF34F4" w:rsidR="00A06574" w:rsidRPr="00A06574" w:rsidRDefault="00A06574" w:rsidP="00A06574">
      <w:pPr>
        <w:rPr>
          <w:b/>
          <w:sz w:val="20"/>
        </w:rPr>
      </w:pPr>
      <w:r>
        <w:rPr>
          <w:b/>
          <w:sz w:val="20"/>
        </w:rPr>
        <w:t xml:space="preserve"> Approval Date                         </w:t>
      </w:r>
      <w:r w:rsidRPr="00A06574">
        <w:rPr>
          <w:b/>
          <w:sz w:val="20"/>
        </w:rPr>
        <w:t>:           Nov</w:t>
      </w:r>
      <w:r w:rsidR="00A76B1C">
        <w:rPr>
          <w:b/>
          <w:sz w:val="20"/>
        </w:rPr>
        <w:t xml:space="preserve">ember </w:t>
      </w:r>
      <w:r w:rsidRPr="00A06574">
        <w:rPr>
          <w:b/>
          <w:sz w:val="20"/>
        </w:rPr>
        <w:t>202</w:t>
      </w:r>
      <w:r w:rsidR="006D0FF9">
        <w:rPr>
          <w:b/>
          <w:sz w:val="20"/>
        </w:rPr>
        <w:t>2</w:t>
      </w:r>
    </w:p>
    <w:p w14:paraId="2302D643" w14:textId="77777777" w:rsidR="00A06574" w:rsidRPr="00A06574" w:rsidRDefault="00A06574" w:rsidP="00A06574">
      <w:pPr>
        <w:rPr>
          <w:b/>
          <w:sz w:val="20"/>
        </w:rPr>
      </w:pPr>
    </w:p>
    <w:p w14:paraId="3EE28D33" w14:textId="77777777" w:rsidR="00A06574" w:rsidRPr="00A06574" w:rsidRDefault="00A06574" w:rsidP="00A06574">
      <w:pPr>
        <w:rPr>
          <w:b/>
          <w:sz w:val="20"/>
        </w:rPr>
      </w:pPr>
    </w:p>
    <w:p w14:paraId="144FB499" w14:textId="26B836AF" w:rsidR="00A06574" w:rsidRDefault="00A06574" w:rsidP="00A06574">
      <w:pPr>
        <w:rPr>
          <w:sz w:val="20"/>
        </w:rPr>
        <w:sectPr w:rsidR="00A06574" w:rsidSect="008341A2">
          <w:headerReference w:type="default" r:id="rId8"/>
          <w:footerReference w:type="default" r:id="rId9"/>
          <w:pgSz w:w="12240" w:h="15840"/>
          <w:pgMar w:top="1220" w:right="1360" w:bottom="2120" w:left="1600" w:header="451" w:footer="1928" w:gutter="0"/>
          <w:pgNumType w:start="1"/>
          <w:cols w:space="720"/>
        </w:sectPr>
      </w:pPr>
      <w:r>
        <w:rPr>
          <w:b/>
          <w:sz w:val="20"/>
        </w:rPr>
        <w:t xml:space="preserve"> </w:t>
      </w:r>
      <w:r w:rsidRPr="00A06574">
        <w:rPr>
          <w:b/>
          <w:sz w:val="20"/>
        </w:rPr>
        <w:t>Effective D</w:t>
      </w:r>
      <w:r>
        <w:rPr>
          <w:b/>
          <w:sz w:val="20"/>
        </w:rPr>
        <w:t xml:space="preserve">ate                          </w:t>
      </w:r>
      <w:r w:rsidRPr="00A06574">
        <w:rPr>
          <w:b/>
          <w:sz w:val="20"/>
        </w:rPr>
        <w:t xml:space="preserve">:           </w:t>
      </w:r>
    </w:p>
    <w:p w14:paraId="50D0079B" w14:textId="77777777" w:rsidR="00A06574" w:rsidRDefault="00A06574" w:rsidP="00A06574">
      <w:pPr>
        <w:pStyle w:val="BodyText"/>
        <w:spacing w:before="6"/>
        <w:rPr>
          <w:b/>
          <w:sz w:val="28"/>
        </w:rPr>
      </w:pPr>
      <w:r>
        <w:rPr>
          <w:noProof/>
          <w:lang w:val="en-IN" w:eastAsia="en-IN" w:bidi="ar-SA"/>
        </w:rPr>
        <w:lastRenderedPageBreak/>
        <w:drawing>
          <wp:anchor distT="0" distB="0" distL="0" distR="0" simplePos="0" relativeHeight="251660288" behindDoc="0" locked="0" layoutInCell="1" allowOverlap="1" wp14:anchorId="546B6538" wp14:editId="37170417">
            <wp:simplePos x="0" y="0"/>
            <wp:positionH relativeFrom="page">
              <wp:posOffset>1095755</wp:posOffset>
            </wp:positionH>
            <wp:positionV relativeFrom="page">
              <wp:posOffset>303276</wp:posOffset>
            </wp:positionV>
            <wp:extent cx="1100327" cy="339851"/>
            <wp:effectExtent l="0" t="0" r="0" b="0"/>
            <wp:wrapNone/>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7" cstate="print"/>
                    <a:stretch>
                      <a:fillRect/>
                    </a:stretch>
                  </pic:blipFill>
                  <pic:spPr>
                    <a:xfrm>
                      <a:off x="0" y="0"/>
                      <a:ext cx="1100327" cy="339851"/>
                    </a:xfrm>
                    <a:prstGeom prst="rect">
                      <a:avLst/>
                    </a:prstGeom>
                  </pic:spPr>
                </pic:pic>
              </a:graphicData>
            </a:graphic>
          </wp:anchor>
        </w:drawing>
      </w:r>
    </w:p>
    <w:p w14:paraId="57C09DB9" w14:textId="77777777" w:rsidR="00A06574" w:rsidRDefault="00A06574" w:rsidP="00A06574">
      <w:pPr>
        <w:spacing w:before="95"/>
        <w:ind w:left="108"/>
        <w:rPr>
          <w:b/>
          <w:sz w:val="26"/>
        </w:rPr>
      </w:pPr>
      <w:r>
        <w:rPr>
          <w:b/>
          <w:sz w:val="26"/>
        </w:rPr>
        <w:t>Contents</w:t>
      </w:r>
    </w:p>
    <w:sdt>
      <w:sdtPr>
        <w:id w:val="-648442646"/>
        <w:docPartObj>
          <w:docPartGallery w:val="Table of Contents"/>
          <w:docPartUnique/>
        </w:docPartObj>
      </w:sdtPr>
      <w:sdtEndPr/>
      <w:sdtContent>
        <w:p w14:paraId="136FA8F0" w14:textId="77777777" w:rsidR="00A06574" w:rsidRDefault="009F25AA" w:rsidP="00A06574">
          <w:pPr>
            <w:pStyle w:val="TOC1"/>
            <w:numPr>
              <w:ilvl w:val="0"/>
              <w:numId w:val="10"/>
            </w:numPr>
            <w:tabs>
              <w:tab w:val="left" w:pos="338"/>
              <w:tab w:val="left" w:leader="dot" w:pos="8129"/>
            </w:tabs>
            <w:spacing w:before="100"/>
            <w:ind w:right="726" w:hanging="656"/>
          </w:pPr>
          <w:hyperlink w:anchor="_TOC_250014" w:history="1">
            <w:r w:rsidR="00A06574">
              <w:rPr>
                <w:w w:val="105"/>
              </w:rPr>
              <w:t>Introduction</w:t>
            </w:r>
            <w:r w:rsidR="00A06574">
              <w:rPr>
                <w:w w:val="105"/>
              </w:rPr>
              <w:tab/>
            </w:r>
            <w:r w:rsidR="00A06574">
              <w:t>3</w:t>
            </w:r>
          </w:hyperlink>
        </w:p>
        <w:p w14:paraId="3DB0B3CA" w14:textId="77777777" w:rsidR="00A06574" w:rsidRDefault="009F25AA" w:rsidP="00A06574">
          <w:pPr>
            <w:pStyle w:val="TOC1"/>
            <w:numPr>
              <w:ilvl w:val="0"/>
              <w:numId w:val="10"/>
            </w:numPr>
            <w:tabs>
              <w:tab w:val="left" w:pos="259"/>
              <w:tab w:val="left" w:leader="dot" w:pos="8157"/>
            </w:tabs>
            <w:spacing w:before="120"/>
            <w:ind w:left="576" w:right="699" w:hanging="577"/>
          </w:pPr>
          <w:hyperlink w:anchor="_TOC_250013" w:history="1">
            <w:r w:rsidR="00A06574">
              <w:rPr>
                <w:w w:val="105"/>
              </w:rPr>
              <w:t>Objectives</w:t>
            </w:r>
            <w:r w:rsidR="00A06574">
              <w:rPr>
                <w:w w:val="105"/>
              </w:rPr>
              <w:tab/>
            </w:r>
            <w:r w:rsidR="00A06574">
              <w:t>3</w:t>
            </w:r>
          </w:hyperlink>
        </w:p>
        <w:p w14:paraId="3EEE137D" w14:textId="21987B3D" w:rsidR="00A06574" w:rsidRDefault="009F25AA" w:rsidP="00A06574">
          <w:pPr>
            <w:pStyle w:val="TOC1"/>
            <w:numPr>
              <w:ilvl w:val="0"/>
              <w:numId w:val="10"/>
            </w:numPr>
            <w:tabs>
              <w:tab w:val="left" w:pos="259"/>
              <w:tab w:val="left" w:leader="dot" w:pos="8157"/>
            </w:tabs>
            <w:ind w:left="576" w:right="699" w:hanging="577"/>
          </w:pPr>
          <w:hyperlink w:anchor="_TOC_250012" w:history="1">
            <w:r w:rsidR="00A06574">
              <w:rPr>
                <w:w w:val="105"/>
              </w:rPr>
              <w:t>Definitions</w:t>
            </w:r>
            <w:r w:rsidR="00A06574">
              <w:rPr>
                <w:w w:val="105"/>
              </w:rPr>
              <w:tab/>
            </w:r>
            <w:r w:rsidR="00574DBD">
              <w:t>3</w:t>
            </w:r>
          </w:hyperlink>
        </w:p>
        <w:p w14:paraId="4E6E8AB6" w14:textId="77777777" w:rsidR="00A06574" w:rsidRDefault="009F25AA" w:rsidP="00A06574">
          <w:pPr>
            <w:pStyle w:val="TOC1"/>
            <w:numPr>
              <w:ilvl w:val="0"/>
              <w:numId w:val="10"/>
            </w:numPr>
            <w:tabs>
              <w:tab w:val="left" w:pos="259"/>
              <w:tab w:val="left" w:leader="dot" w:pos="8158"/>
            </w:tabs>
            <w:spacing w:before="122"/>
            <w:ind w:left="576" w:right="697" w:hanging="577"/>
          </w:pPr>
          <w:hyperlink w:anchor="_TOC_250011" w:history="1">
            <w:r w:rsidR="00A06574">
              <w:rPr>
                <w:w w:val="105"/>
              </w:rPr>
              <w:t>Regulations</w:t>
            </w:r>
            <w:r w:rsidR="00A06574">
              <w:rPr>
                <w:spacing w:val="-5"/>
                <w:w w:val="105"/>
              </w:rPr>
              <w:t xml:space="preserve"> </w:t>
            </w:r>
            <w:r w:rsidR="00A06574">
              <w:rPr>
                <w:w w:val="105"/>
              </w:rPr>
              <w:t>Affecting</w:t>
            </w:r>
            <w:r w:rsidR="00A06574">
              <w:rPr>
                <w:spacing w:val="-10"/>
                <w:w w:val="105"/>
              </w:rPr>
              <w:t xml:space="preserve"> </w:t>
            </w:r>
            <w:r w:rsidR="00A06574">
              <w:rPr>
                <w:w w:val="105"/>
              </w:rPr>
              <w:t>Investments</w:t>
            </w:r>
            <w:r w:rsidR="00A06574">
              <w:rPr>
                <w:w w:val="105"/>
              </w:rPr>
              <w:tab/>
            </w:r>
            <w:r w:rsidR="00A06574">
              <w:t>4</w:t>
            </w:r>
          </w:hyperlink>
        </w:p>
        <w:p w14:paraId="01CC3BF7" w14:textId="5B7FCDBB" w:rsidR="00A06574" w:rsidRDefault="00644508" w:rsidP="00A06574">
          <w:pPr>
            <w:pStyle w:val="TOC1"/>
            <w:numPr>
              <w:ilvl w:val="1"/>
              <w:numId w:val="10"/>
            </w:numPr>
            <w:tabs>
              <w:tab w:val="left" w:pos="312"/>
              <w:tab w:val="left" w:leader="dot" w:pos="8002"/>
            </w:tabs>
            <w:ind w:right="697" w:hanging="786"/>
          </w:pPr>
          <w:r>
            <w:rPr>
              <w:w w:val="105"/>
            </w:rPr>
            <w:t>Prudential</w:t>
          </w:r>
          <w:r w:rsidR="00A06574">
            <w:rPr>
              <w:spacing w:val="-9"/>
              <w:w w:val="105"/>
            </w:rPr>
            <w:t xml:space="preserve"> </w:t>
          </w:r>
          <w:r w:rsidR="00A06574">
            <w:rPr>
              <w:w w:val="105"/>
            </w:rPr>
            <w:t>Exposure</w:t>
          </w:r>
          <w:r w:rsidR="00A06574">
            <w:rPr>
              <w:spacing w:val="-5"/>
              <w:w w:val="105"/>
            </w:rPr>
            <w:t xml:space="preserve"> </w:t>
          </w:r>
          <w:r w:rsidR="00A06574">
            <w:rPr>
              <w:w w:val="105"/>
            </w:rPr>
            <w:t>Ceilings</w:t>
          </w:r>
          <w:r w:rsidR="00A06574">
            <w:rPr>
              <w:w w:val="105"/>
            </w:rPr>
            <w:tab/>
          </w:r>
          <w:r w:rsidR="00A06574">
            <w:t>4</w:t>
          </w:r>
        </w:p>
        <w:p w14:paraId="13253006" w14:textId="45D67F76" w:rsidR="00A06574" w:rsidRDefault="009F25AA" w:rsidP="00A06574">
          <w:pPr>
            <w:pStyle w:val="TOC1"/>
            <w:numPr>
              <w:ilvl w:val="1"/>
              <w:numId w:val="10"/>
            </w:numPr>
            <w:tabs>
              <w:tab w:val="left" w:pos="316"/>
              <w:tab w:val="left" w:leader="dot" w:pos="8001"/>
            </w:tabs>
            <w:spacing w:before="120"/>
            <w:ind w:left="789" w:hanging="790"/>
          </w:pPr>
          <w:hyperlink w:anchor="_TOC_250010" w:history="1">
            <w:r w:rsidR="00A06574">
              <w:rPr>
                <w:w w:val="105"/>
              </w:rPr>
              <w:t>Accounting</w:t>
            </w:r>
            <w:r w:rsidR="00A06574">
              <w:rPr>
                <w:spacing w:val="-8"/>
                <w:w w:val="105"/>
              </w:rPr>
              <w:t xml:space="preserve"> </w:t>
            </w:r>
            <w:r w:rsidR="00A06574">
              <w:rPr>
                <w:w w:val="105"/>
              </w:rPr>
              <w:t>of</w:t>
            </w:r>
            <w:r w:rsidR="00A06574">
              <w:rPr>
                <w:spacing w:val="-7"/>
                <w:w w:val="105"/>
              </w:rPr>
              <w:t xml:space="preserve"> </w:t>
            </w:r>
            <w:r w:rsidR="00A06574">
              <w:rPr>
                <w:w w:val="105"/>
              </w:rPr>
              <w:t>Investments</w:t>
            </w:r>
            <w:r w:rsidR="00A06574">
              <w:rPr>
                <w:w w:val="105"/>
              </w:rPr>
              <w:tab/>
            </w:r>
            <w:r w:rsidR="00EA11D8">
              <w:t>4</w:t>
            </w:r>
          </w:hyperlink>
        </w:p>
        <w:p w14:paraId="14B01FFD" w14:textId="65D8E090" w:rsidR="00A06574" w:rsidRDefault="009F25AA" w:rsidP="00A06574">
          <w:pPr>
            <w:pStyle w:val="TOC1"/>
            <w:numPr>
              <w:ilvl w:val="1"/>
              <w:numId w:val="10"/>
            </w:numPr>
            <w:tabs>
              <w:tab w:val="left" w:pos="312"/>
              <w:tab w:val="left" w:leader="dot" w:pos="8001"/>
            </w:tabs>
            <w:spacing w:before="121"/>
            <w:ind w:hanging="786"/>
          </w:pPr>
          <w:hyperlink w:anchor="_TOC_250009" w:history="1">
            <w:r w:rsidR="00A06574">
              <w:rPr>
                <w:w w:val="105"/>
              </w:rPr>
              <w:t>Valuation</w:t>
            </w:r>
            <w:r w:rsidR="00A06574">
              <w:rPr>
                <w:spacing w:val="-7"/>
                <w:w w:val="105"/>
              </w:rPr>
              <w:t xml:space="preserve"> </w:t>
            </w:r>
            <w:r w:rsidR="00A06574">
              <w:rPr>
                <w:w w:val="105"/>
              </w:rPr>
              <w:t>of</w:t>
            </w:r>
            <w:r w:rsidR="00A06574">
              <w:rPr>
                <w:spacing w:val="-5"/>
                <w:w w:val="105"/>
              </w:rPr>
              <w:t xml:space="preserve"> </w:t>
            </w:r>
            <w:r w:rsidR="00A06574">
              <w:rPr>
                <w:w w:val="105"/>
              </w:rPr>
              <w:t>Investments</w:t>
            </w:r>
            <w:r w:rsidR="00A06574">
              <w:rPr>
                <w:w w:val="105"/>
              </w:rPr>
              <w:tab/>
            </w:r>
            <w:r w:rsidR="00EA11D8">
              <w:t>4</w:t>
            </w:r>
          </w:hyperlink>
        </w:p>
        <w:p w14:paraId="43C7F42B" w14:textId="4C59077E" w:rsidR="00A06574" w:rsidRDefault="00A06574" w:rsidP="00A06574">
          <w:pPr>
            <w:pStyle w:val="TOC1"/>
            <w:numPr>
              <w:ilvl w:val="2"/>
              <w:numId w:val="10"/>
            </w:numPr>
            <w:tabs>
              <w:tab w:val="left" w:pos="468"/>
              <w:tab w:val="left" w:leader="dot" w:pos="7739"/>
            </w:tabs>
            <w:spacing w:before="120"/>
            <w:ind w:right="699" w:hanging="1203"/>
          </w:pPr>
          <w:r>
            <w:rPr>
              <w:w w:val="105"/>
            </w:rPr>
            <w:t>Quoted</w:t>
          </w:r>
          <w:r>
            <w:rPr>
              <w:spacing w:val="-8"/>
              <w:w w:val="105"/>
            </w:rPr>
            <w:t xml:space="preserve"> </w:t>
          </w:r>
          <w:r>
            <w:rPr>
              <w:w w:val="105"/>
            </w:rPr>
            <w:t>Current</w:t>
          </w:r>
          <w:r>
            <w:rPr>
              <w:spacing w:val="-5"/>
              <w:w w:val="105"/>
            </w:rPr>
            <w:t xml:space="preserve"> </w:t>
          </w:r>
          <w:r>
            <w:rPr>
              <w:w w:val="105"/>
            </w:rPr>
            <w:t>Investments</w:t>
          </w:r>
          <w:r>
            <w:rPr>
              <w:w w:val="105"/>
            </w:rPr>
            <w:tab/>
          </w:r>
          <w:r w:rsidR="00EA11D8">
            <w:t>4</w:t>
          </w:r>
        </w:p>
        <w:p w14:paraId="68EEE57E" w14:textId="77777777" w:rsidR="00A06574" w:rsidRDefault="009F25AA" w:rsidP="00A06574">
          <w:pPr>
            <w:pStyle w:val="TOC1"/>
            <w:numPr>
              <w:ilvl w:val="2"/>
              <w:numId w:val="10"/>
            </w:numPr>
            <w:tabs>
              <w:tab w:val="left" w:pos="468"/>
              <w:tab w:val="left" w:leader="dot" w:pos="7741"/>
            </w:tabs>
            <w:spacing w:before="122"/>
            <w:ind w:right="697" w:hanging="1203"/>
          </w:pPr>
          <w:hyperlink w:anchor="_TOC_250008" w:history="1">
            <w:r w:rsidR="00A06574">
              <w:rPr>
                <w:w w:val="105"/>
              </w:rPr>
              <w:t>Unquoted</w:t>
            </w:r>
            <w:r w:rsidR="00A06574">
              <w:rPr>
                <w:spacing w:val="-6"/>
                <w:w w:val="105"/>
              </w:rPr>
              <w:t xml:space="preserve"> </w:t>
            </w:r>
            <w:r w:rsidR="00A06574">
              <w:rPr>
                <w:w w:val="105"/>
              </w:rPr>
              <w:t>Current</w:t>
            </w:r>
            <w:r w:rsidR="00A06574">
              <w:rPr>
                <w:spacing w:val="-8"/>
                <w:w w:val="105"/>
              </w:rPr>
              <w:t xml:space="preserve"> </w:t>
            </w:r>
            <w:r w:rsidR="00A06574">
              <w:rPr>
                <w:w w:val="105"/>
              </w:rPr>
              <w:t>Investments</w:t>
            </w:r>
            <w:r w:rsidR="00A06574">
              <w:rPr>
                <w:w w:val="105"/>
              </w:rPr>
              <w:tab/>
            </w:r>
            <w:r w:rsidR="00A06574">
              <w:t>5</w:t>
            </w:r>
          </w:hyperlink>
        </w:p>
        <w:p w14:paraId="2FE704BE" w14:textId="208E7D19" w:rsidR="00A06574" w:rsidRDefault="00A06574" w:rsidP="00A06574">
          <w:pPr>
            <w:pStyle w:val="TOC1"/>
            <w:numPr>
              <w:ilvl w:val="2"/>
              <w:numId w:val="10"/>
            </w:numPr>
            <w:tabs>
              <w:tab w:val="left" w:pos="468"/>
              <w:tab w:val="left" w:leader="dot" w:pos="7740"/>
            </w:tabs>
            <w:spacing w:before="121"/>
            <w:ind w:hanging="1203"/>
          </w:pPr>
          <w:r>
            <w:rPr>
              <w:w w:val="105"/>
            </w:rPr>
            <w:t>Long</w:t>
          </w:r>
          <w:r>
            <w:rPr>
              <w:spacing w:val="-6"/>
              <w:w w:val="105"/>
            </w:rPr>
            <w:t xml:space="preserve"> </w:t>
          </w:r>
          <w:r>
            <w:rPr>
              <w:w w:val="105"/>
            </w:rPr>
            <w:t>Term</w:t>
          </w:r>
          <w:r>
            <w:rPr>
              <w:spacing w:val="-5"/>
              <w:w w:val="105"/>
            </w:rPr>
            <w:t xml:space="preserve"> </w:t>
          </w:r>
          <w:r>
            <w:rPr>
              <w:w w:val="105"/>
            </w:rPr>
            <w:t>Investments</w:t>
          </w:r>
          <w:r>
            <w:rPr>
              <w:w w:val="105"/>
            </w:rPr>
            <w:tab/>
          </w:r>
          <w:r w:rsidR="00EA11D8">
            <w:t>5</w:t>
          </w:r>
        </w:p>
        <w:p w14:paraId="1561F87C" w14:textId="1D8AB0C2" w:rsidR="00EA11D8" w:rsidRDefault="00EA11D8" w:rsidP="00EA11D8">
          <w:pPr>
            <w:pStyle w:val="TOC1"/>
            <w:numPr>
              <w:ilvl w:val="2"/>
              <w:numId w:val="10"/>
            </w:numPr>
            <w:tabs>
              <w:tab w:val="left" w:pos="468"/>
              <w:tab w:val="left" w:leader="dot" w:pos="7740"/>
            </w:tabs>
            <w:spacing w:before="121"/>
            <w:ind w:hanging="482"/>
            <w:jc w:val="left"/>
          </w:pPr>
          <w:r>
            <w:rPr>
              <w:w w:val="105"/>
            </w:rPr>
            <w:t>Accounting Treatment of Investments under IND AS…………………………………...5</w:t>
          </w:r>
        </w:p>
        <w:p w14:paraId="4CADAB10" w14:textId="77777777" w:rsidR="00A06574" w:rsidRDefault="009F25AA" w:rsidP="00A06574">
          <w:pPr>
            <w:pStyle w:val="TOC1"/>
            <w:numPr>
              <w:ilvl w:val="1"/>
              <w:numId w:val="10"/>
            </w:numPr>
            <w:tabs>
              <w:tab w:val="left" w:pos="312"/>
              <w:tab w:val="left" w:leader="dot" w:pos="8001"/>
            </w:tabs>
            <w:spacing w:before="120"/>
            <w:ind w:hanging="786"/>
          </w:pPr>
          <w:hyperlink w:anchor="_TOC_250007" w:history="1">
            <w:r w:rsidR="00A06574">
              <w:rPr>
                <w:w w:val="105"/>
              </w:rPr>
              <w:t>Income</w:t>
            </w:r>
            <w:r w:rsidR="00A06574">
              <w:rPr>
                <w:spacing w:val="-8"/>
                <w:w w:val="105"/>
              </w:rPr>
              <w:t xml:space="preserve"> </w:t>
            </w:r>
            <w:r w:rsidR="00A06574">
              <w:rPr>
                <w:w w:val="105"/>
              </w:rPr>
              <w:t>Recognition</w:t>
            </w:r>
            <w:r w:rsidR="00A06574">
              <w:rPr>
                <w:w w:val="105"/>
              </w:rPr>
              <w:tab/>
            </w:r>
            <w:r w:rsidR="00A06574">
              <w:t>6</w:t>
            </w:r>
          </w:hyperlink>
        </w:p>
        <w:p w14:paraId="3D886DF0" w14:textId="4CD6ECF7" w:rsidR="00A06574" w:rsidRDefault="009F25AA" w:rsidP="00A06574">
          <w:pPr>
            <w:pStyle w:val="TOC1"/>
            <w:numPr>
              <w:ilvl w:val="1"/>
              <w:numId w:val="10"/>
            </w:numPr>
            <w:tabs>
              <w:tab w:val="left" w:pos="312"/>
              <w:tab w:val="left" w:leader="dot" w:pos="8003"/>
            </w:tabs>
            <w:ind w:right="696" w:hanging="786"/>
          </w:pPr>
          <w:hyperlink w:anchor="_TOC_250006" w:history="1">
            <w:r w:rsidR="00A06574">
              <w:rPr>
                <w:w w:val="105"/>
              </w:rPr>
              <w:t>Risk Weight for</w:t>
            </w:r>
            <w:r w:rsidR="00A06574">
              <w:rPr>
                <w:spacing w:val="-22"/>
                <w:w w:val="105"/>
              </w:rPr>
              <w:t xml:space="preserve"> </w:t>
            </w:r>
            <w:r w:rsidR="00A06574">
              <w:rPr>
                <w:w w:val="105"/>
              </w:rPr>
              <w:t>Capital</w:t>
            </w:r>
            <w:r w:rsidR="00A06574">
              <w:rPr>
                <w:spacing w:val="-1"/>
                <w:w w:val="105"/>
              </w:rPr>
              <w:t xml:space="preserve"> </w:t>
            </w:r>
            <w:r w:rsidR="00A06574">
              <w:rPr>
                <w:w w:val="105"/>
              </w:rPr>
              <w:t>Adequacy</w:t>
            </w:r>
            <w:r w:rsidR="00A06574">
              <w:rPr>
                <w:w w:val="105"/>
              </w:rPr>
              <w:tab/>
            </w:r>
            <w:r w:rsidR="003C5475">
              <w:t>6</w:t>
            </w:r>
          </w:hyperlink>
        </w:p>
        <w:p w14:paraId="35EE63F5" w14:textId="77777777" w:rsidR="00A06574" w:rsidRDefault="00A06574" w:rsidP="00A06574">
          <w:pPr>
            <w:pStyle w:val="TOC1"/>
            <w:numPr>
              <w:ilvl w:val="0"/>
              <w:numId w:val="10"/>
            </w:numPr>
            <w:tabs>
              <w:tab w:val="left" w:pos="207"/>
              <w:tab w:val="left" w:leader="dot" w:pos="8168"/>
            </w:tabs>
            <w:spacing w:before="120"/>
            <w:ind w:left="531" w:right="680" w:hanging="532"/>
          </w:pPr>
          <w:r>
            <w:rPr>
              <w:w w:val="105"/>
            </w:rPr>
            <w:t>Guiding Principles</w:t>
          </w:r>
          <w:r>
            <w:rPr>
              <w:spacing w:val="-14"/>
              <w:w w:val="105"/>
            </w:rPr>
            <w:t xml:space="preserve"> </w:t>
          </w:r>
          <w:r>
            <w:rPr>
              <w:w w:val="105"/>
            </w:rPr>
            <w:t>for</w:t>
          </w:r>
          <w:r>
            <w:rPr>
              <w:spacing w:val="-7"/>
              <w:w w:val="105"/>
            </w:rPr>
            <w:t xml:space="preserve"> </w:t>
          </w:r>
          <w:r>
            <w:rPr>
              <w:w w:val="105"/>
            </w:rPr>
            <w:t>Investments</w:t>
          </w:r>
          <w:r>
            <w:rPr>
              <w:w w:val="105"/>
            </w:rPr>
            <w:tab/>
          </w:r>
          <w:r>
            <w:t>7</w:t>
          </w:r>
        </w:p>
        <w:p w14:paraId="157D8AB1" w14:textId="77777777" w:rsidR="00A06574" w:rsidRDefault="009F25AA" w:rsidP="00A06574">
          <w:pPr>
            <w:pStyle w:val="TOC1"/>
            <w:numPr>
              <w:ilvl w:val="0"/>
              <w:numId w:val="10"/>
            </w:numPr>
            <w:tabs>
              <w:tab w:val="left" w:pos="206"/>
              <w:tab w:val="left" w:leader="dot" w:pos="8158"/>
            </w:tabs>
            <w:spacing w:before="177"/>
            <w:ind w:left="522" w:right="697" w:hanging="523"/>
          </w:pPr>
          <w:hyperlink w:anchor="_TOC_250005" w:history="1">
            <w:r w:rsidR="00A06574">
              <w:rPr>
                <w:w w:val="105"/>
              </w:rPr>
              <w:t>Guidance</w:t>
            </w:r>
            <w:r w:rsidR="00A06574">
              <w:rPr>
                <w:spacing w:val="-7"/>
                <w:w w:val="105"/>
              </w:rPr>
              <w:t xml:space="preserve"> </w:t>
            </w:r>
            <w:r w:rsidR="00A06574">
              <w:rPr>
                <w:w w:val="105"/>
              </w:rPr>
              <w:t>for</w:t>
            </w:r>
            <w:r w:rsidR="00A06574">
              <w:rPr>
                <w:spacing w:val="-4"/>
                <w:w w:val="105"/>
              </w:rPr>
              <w:t xml:space="preserve"> </w:t>
            </w:r>
            <w:r w:rsidR="00A06574">
              <w:rPr>
                <w:w w:val="105"/>
              </w:rPr>
              <w:t>Investments</w:t>
            </w:r>
            <w:r w:rsidR="00A06574">
              <w:rPr>
                <w:w w:val="105"/>
              </w:rPr>
              <w:tab/>
            </w:r>
            <w:r w:rsidR="00A06574">
              <w:t>8</w:t>
            </w:r>
          </w:hyperlink>
        </w:p>
        <w:p w14:paraId="0C3E763B" w14:textId="77777777" w:rsidR="00A06574" w:rsidRDefault="00A06574" w:rsidP="00A06574">
          <w:pPr>
            <w:pStyle w:val="TOC1"/>
            <w:numPr>
              <w:ilvl w:val="1"/>
              <w:numId w:val="10"/>
            </w:numPr>
            <w:tabs>
              <w:tab w:val="left" w:pos="312"/>
              <w:tab w:val="left" w:leader="dot" w:pos="8001"/>
            </w:tabs>
            <w:spacing w:before="122"/>
            <w:ind w:hanging="786"/>
          </w:pPr>
          <w:r>
            <w:rPr>
              <w:w w:val="105"/>
            </w:rPr>
            <w:t>Current</w:t>
          </w:r>
          <w:r>
            <w:rPr>
              <w:spacing w:val="-8"/>
              <w:w w:val="105"/>
            </w:rPr>
            <w:t xml:space="preserve"> </w:t>
          </w:r>
          <w:r>
            <w:rPr>
              <w:w w:val="105"/>
            </w:rPr>
            <w:t>Investments</w:t>
          </w:r>
          <w:r>
            <w:rPr>
              <w:w w:val="105"/>
            </w:rPr>
            <w:tab/>
          </w:r>
          <w:r>
            <w:t>8</w:t>
          </w:r>
        </w:p>
        <w:p w14:paraId="534A6550" w14:textId="77777777" w:rsidR="00A06574" w:rsidRDefault="00A06574" w:rsidP="00A06574">
          <w:pPr>
            <w:pStyle w:val="TOC1"/>
            <w:numPr>
              <w:ilvl w:val="1"/>
              <w:numId w:val="10"/>
            </w:numPr>
            <w:tabs>
              <w:tab w:val="left" w:pos="312"/>
              <w:tab w:val="left" w:leader="dot" w:pos="7999"/>
            </w:tabs>
            <w:ind w:right="699" w:hanging="786"/>
          </w:pPr>
          <w:r>
            <w:rPr>
              <w:w w:val="105"/>
            </w:rPr>
            <w:t>Investment</w:t>
          </w:r>
          <w:r>
            <w:rPr>
              <w:spacing w:val="-5"/>
              <w:w w:val="105"/>
            </w:rPr>
            <w:t xml:space="preserve"> </w:t>
          </w:r>
          <w:r>
            <w:rPr>
              <w:w w:val="105"/>
            </w:rPr>
            <w:t>in</w:t>
          </w:r>
          <w:r>
            <w:rPr>
              <w:spacing w:val="-5"/>
              <w:w w:val="105"/>
            </w:rPr>
            <w:t xml:space="preserve"> </w:t>
          </w:r>
          <w:r>
            <w:rPr>
              <w:w w:val="105"/>
            </w:rPr>
            <w:t>Subsidiaries</w:t>
          </w:r>
          <w:r>
            <w:rPr>
              <w:w w:val="105"/>
            </w:rPr>
            <w:tab/>
          </w:r>
          <w:r>
            <w:t>8</w:t>
          </w:r>
        </w:p>
        <w:p w14:paraId="681D8A86" w14:textId="381D042F" w:rsidR="00A06574" w:rsidRDefault="00A06574" w:rsidP="00A06574">
          <w:pPr>
            <w:pStyle w:val="TOC1"/>
            <w:numPr>
              <w:ilvl w:val="1"/>
              <w:numId w:val="10"/>
            </w:numPr>
            <w:tabs>
              <w:tab w:val="left" w:pos="312"/>
              <w:tab w:val="left" w:leader="dot" w:pos="8003"/>
            </w:tabs>
            <w:ind w:right="696" w:hanging="786"/>
          </w:pPr>
          <w:r>
            <w:rPr>
              <w:w w:val="105"/>
            </w:rPr>
            <w:t>Inves</w:t>
          </w:r>
          <w:r w:rsidR="00644508">
            <w:rPr>
              <w:w w:val="105"/>
            </w:rPr>
            <w:t>t</w:t>
          </w:r>
          <w:r>
            <w:rPr>
              <w:w w:val="105"/>
            </w:rPr>
            <w:t>ments for Creation of Debenture Redemption</w:t>
          </w:r>
          <w:r>
            <w:rPr>
              <w:spacing w:val="-38"/>
              <w:w w:val="105"/>
            </w:rPr>
            <w:t xml:space="preserve"> </w:t>
          </w:r>
          <w:r>
            <w:rPr>
              <w:w w:val="105"/>
            </w:rPr>
            <w:t>Reserve</w:t>
          </w:r>
          <w:r>
            <w:rPr>
              <w:spacing w:val="-8"/>
              <w:w w:val="105"/>
            </w:rPr>
            <w:t xml:space="preserve"> </w:t>
          </w:r>
          <w:r>
            <w:rPr>
              <w:w w:val="105"/>
            </w:rPr>
            <w:t>(DRR)</w:t>
          </w:r>
          <w:r>
            <w:rPr>
              <w:w w:val="105"/>
            </w:rPr>
            <w:tab/>
          </w:r>
          <w:r w:rsidR="003C5475">
            <w:t>9</w:t>
          </w:r>
        </w:p>
        <w:p w14:paraId="50581610" w14:textId="77777777" w:rsidR="00A06574" w:rsidRDefault="00A06574" w:rsidP="00A06574">
          <w:pPr>
            <w:pStyle w:val="TOC1"/>
            <w:numPr>
              <w:ilvl w:val="1"/>
              <w:numId w:val="10"/>
            </w:numPr>
            <w:tabs>
              <w:tab w:val="left" w:pos="312"/>
              <w:tab w:val="left" w:leader="dot" w:pos="8001"/>
            </w:tabs>
            <w:spacing w:before="120"/>
            <w:ind w:hanging="786"/>
          </w:pPr>
          <w:r>
            <w:rPr>
              <w:w w:val="105"/>
            </w:rPr>
            <w:t>Classification</w:t>
          </w:r>
          <w:r>
            <w:rPr>
              <w:spacing w:val="-7"/>
              <w:w w:val="105"/>
            </w:rPr>
            <w:t xml:space="preserve"> </w:t>
          </w:r>
          <w:r>
            <w:rPr>
              <w:w w:val="105"/>
            </w:rPr>
            <w:t>of</w:t>
          </w:r>
          <w:r>
            <w:rPr>
              <w:spacing w:val="-5"/>
              <w:w w:val="105"/>
            </w:rPr>
            <w:t xml:space="preserve"> </w:t>
          </w:r>
          <w:r>
            <w:rPr>
              <w:w w:val="105"/>
            </w:rPr>
            <w:t>Investments</w:t>
          </w:r>
          <w:r>
            <w:rPr>
              <w:w w:val="105"/>
            </w:rPr>
            <w:tab/>
          </w:r>
          <w:r>
            <w:t>9</w:t>
          </w:r>
        </w:p>
        <w:p w14:paraId="5E53466B" w14:textId="77777777" w:rsidR="00A06574" w:rsidRDefault="00A06574" w:rsidP="00A06574">
          <w:pPr>
            <w:pStyle w:val="TOC1"/>
            <w:numPr>
              <w:ilvl w:val="1"/>
              <w:numId w:val="10"/>
            </w:numPr>
            <w:tabs>
              <w:tab w:val="left" w:pos="312"/>
              <w:tab w:val="left" w:leader="dot" w:pos="8001"/>
            </w:tabs>
            <w:spacing w:before="122"/>
            <w:ind w:right="697" w:hanging="786"/>
          </w:pPr>
          <w:r>
            <w:rPr>
              <w:w w:val="105"/>
            </w:rPr>
            <w:t>Delegated</w:t>
          </w:r>
          <w:r>
            <w:rPr>
              <w:spacing w:val="-4"/>
              <w:w w:val="105"/>
            </w:rPr>
            <w:t xml:space="preserve"> </w:t>
          </w:r>
          <w:r>
            <w:rPr>
              <w:w w:val="105"/>
            </w:rPr>
            <w:t>Powers</w:t>
          </w:r>
          <w:r>
            <w:rPr>
              <w:w w:val="105"/>
            </w:rPr>
            <w:tab/>
          </w:r>
          <w:r>
            <w:t>9</w:t>
          </w:r>
        </w:p>
        <w:p w14:paraId="3BC15236" w14:textId="77777777" w:rsidR="00A06574" w:rsidRDefault="009F25AA" w:rsidP="00A06574">
          <w:pPr>
            <w:pStyle w:val="TOC1"/>
            <w:numPr>
              <w:ilvl w:val="0"/>
              <w:numId w:val="10"/>
            </w:numPr>
            <w:tabs>
              <w:tab w:val="left" w:pos="206"/>
              <w:tab w:val="left" w:leader="dot" w:pos="8141"/>
            </w:tabs>
            <w:ind w:left="522" w:right="715" w:hanging="523"/>
          </w:pPr>
          <w:hyperlink w:anchor="_TOC_250004" w:history="1">
            <w:r w:rsidR="00A06574">
              <w:rPr>
                <w:w w:val="105"/>
              </w:rPr>
              <w:t>Investment Restrictions and</w:t>
            </w:r>
            <w:r w:rsidR="00A06574">
              <w:rPr>
                <w:spacing w:val="-26"/>
                <w:w w:val="105"/>
              </w:rPr>
              <w:t xml:space="preserve"> </w:t>
            </w:r>
            <w:r w:rsidR="00A06574">
              <w:rPr>
                <w:w w:val="105"/>
              </w:rPr>
              <w:t>Prohibited</w:t>
            </w:r>
            <w:r w:rsidR="00A06574">
              <w:rPr>
                <w:spacing w:val="-4"/>
                <w:w w:val="105"/>
              </w:rPr>
              <w:t xml:space="preserve"> </w:t>
            </w:r>
            <w:r w:rsidR="00A06574">
              <w:rPr>
                <w:w w:val="105"/>
              </w:rPr>
              <w:t>Transactions</w:t>
            </w:r>
            <w:r w:rsidR="00A06574">
              <w:rPr>
                <w:w w:val="105"/>
              </w:rPr>
              <w:tab/>
            </w:r>
            <w:r w:rsidR="00A06574">
              <w:t>9</w:t>
            </w:r>
          </w:hyperlink>
        </w:p>
        <w:p w14:paraId="027BA535" w14:textId="77777777" w:rsidR="00A06574" w:rsidRDefault="00A06574" w:rsidP="00A06574">
          <w:pPr>
            <w:pStyle w:val="TOC1"/>
            <w:numPr>
              <w:ilvl w:val="0"/>
              <w:numId w:val="10"/>
            </w:numPr>
            <w:tabs>
              <w:tab w:val="left" w:pos="206"/>
              <w:tab w:val="left" w:leader="dot" w:pos="8043"/>
            </w:tabs>
            <w:spacing w:before="177"/>
            <w:ind w:left="522" w:right="706" w:hanging="523"/>
          </w:pPr>
          <w:r>
            <w:rPr>
              <w:w w:val="105"/>
            </w:rPr>
            <w:t>Compliance</w:t>
          </w:r>
          <w:r>
            <w:rPr>
              <w:spacing w:val="-6"/>
              <w:w w:val="105"/>
            </w:rPr>
            <w:t xml:space="preserve"> </w:t>
          </w:r>
          <w:r>
            <w:rPr>
              <w:w w:val="105"/>
            </w:rPr>
            <w:t>to</w:t>
          </w:r>
          <w:r>
            <w:rPr>
              <w:spacing w:val="-5"/>
              <w:w w:val="105"/>
            </w:rPr>
            <w:t xml:space="preserve"> </w:t>
          </w:r>
          <w:r>
            <w:rPr>
              <w:w w:val="105"/>
            </w:rPr>
            <w:t>Regulations</w:t>
          </w:r>
          <w:r>
            <w:rPr>
              <w:w w:val="105"/>
            </w:rPr>
            <w:tab/>
          </w:r>
          <w:r>
            <w:t>10</w:t>
          </w:r>
        </w:p>
        <w:p w14:paraId="5C7D8F96" w14:textId="77777777" w:rsidR="00A06574" w:rsidRDefault="00A06574" w:rsidP="00A06574">
          <w:pPr>
            <w:pStyle w:val="TOC1"/>
            <w:numPr>
              <w:ilvl w:val="1"/>
              <w:numId w:val="10"/>
            </w:numPr>
            <w:tabs>
              <w:tab w:val="left" w:pos="312"/>
              <w:tab w:val="left" w:leader="dot" w:pos="7895"/>
            </w:tabs>
            <w:spacing w:before="179"/>
            <w:ind w:right="701" w:hanging="786"/>
          </w:pPr>
          <w:r>
            <w:rPr>
              <w:w w:val="105"/>
            </w:rPr>
            <w:t>Transfer</w:t>
          </w:r>
          <w:r>
            <w:rPr>
              <w:spacing w:val="-7"/>
              <w:w w:val="105"/>
            </w:rPr>
            <w:t xml:space="preserve"> </w:t>
          </w:r>
          <w:r>
            <w:rPr>
              <w:w w:val="105"/>
            </w:rPr>
            <w:t>of</w:t>
          </w:r>
          <w:r>
            <w:rPr>
              <w:spacing w:val="-6"/>
              <w:w w:val="105"/>
            </w:rPr>
            <w:t xml:space="preserve"> </w:t>
          </w:r>
          <w:r>
            <w:rPr>
              <w:w w:val="105"/>
            </w:rPr>
            <w:t>Investments</w:t>
          </w:r>
          <w:r>
            <w:rPr>
              <w:w w:val="105"/>
            </w:rPr>
            <w:tab/>
          </w:r>
          <w:r>
            <w:rPr>
              <w:spacing w:val="-2"/>
            </w:rPr>
            <w:t>10</w:t>
          </w:r>
        </w:p>
        <w:p w14:paraId="57FA4336" w14:textId="77777777" w:rsidR="00A06574" w:rsidRDefault="00A06574" w:rsidP="00A06574">
          <w:pPr>
            <w:pStyle w:val="TOC1"/>
            <w:numPr>
              <w:ilvl w:val="1"/>
              <w:numId w:val="10"/>
            </w:numPr>
            <w:tabs>
              <w:tab w:val="left" w:pos="312"/>
              <w:tab w:val="left" w:leader="dot" w:pos="7893"/>
            </w:tabs>
            <w:spacing w:before="120"/>
            <w:ind w:right="701" w:hanging="786"/>
          </w:pPr>
          <w:r>
            <w:rPr>
              <w:w w:val="105"/>
            </w:rPr>
            <w:t>Valuation</w:t>
          </w:r>
          <w:r>
            <w:rPr>
              <w:w w:val="105"/>
            </w:rPr>
            <w:tab/>
          </w:r>
          <w:r>
            <w:rPr>
              <w:spacing w:val="-1"/>
            </w:rPr>
            <w:t>10</w:t>
          </w:r>
        </w:p>
        <w:p w14:paraId="36F157AB" w14:textId="77777777" w:rsidR="00A06574" w:rsidRDefault="00A06574" w:rsidP="00A06574">
          <w:pPr>
            <w:pStyle w:val="TOC1"/>
            <w:numPr>
              <w:ilvl w:val="1"/>
              <w:numId w:val="10"/>
            </w:numPr>
            <w:tabs>
              <w:tab w:val="left" w:pos="312"/>
              <w:tab w:val="left" w:leader="dot" w:pos="7896"/>
            </w:tabs>
            <w:ind w:right="700" w:hanging="786"/>
          </w:pPr>
          <w:r>
            <w:rPr>
              <w:w w:val="105"/>
            </w:rPr>
            <w:t>Depreciation</w:t>
          </w:r>
          <w:r>
            <w:rPr>
              <w:spacing w:val="-8"/>
              <w:w w:val="105"/>
            </w:rPr>
            <w:t xml:space="preserve"> </w:t>
          </w:r>
          <w:r>
            <w:rPr>
              <w:w w:val="105"/>
            </w:rPr>
            <w:t>and</w:t>
          </w:r>
          <w:r>
            <w:rPr>
              <w:spacing w:val="-5"/>
              <w:w w:val="105"/>
            </w:rPr>
            <w:t xml:space="preserve"> </w:t>
          </w:r>
          <w:r>
            <w:rPr>
              <w:w w:val="105"/>
            </w:rPr>
            <w:t>Appreciation</w:t>
          </w:r>
          <w:r>
            <w:rPr>
              <w:w w:val="105"/>
            </w:rPr>
            <w:tab/>
          </w:r>
          <w:r>
            <w:rPr>
              <w:spacing w:val="-2"/>
            </w:rPr>
            <w:t>10</w:t>
          </w:r>
        </w:p>
        <w:p w14:paraId="63BD07EC" w14:textId="77777777" w:rsidR="00A06574" w:rsidRDefault="00A06574" w:rsidP="00A06574">
          <w:pPr>
            <w:pStyle w:val="TOC1"/>
            <w:numPr>
              <w:ilvl w:val="1"/>
              <w:numId w:val="10"/>
            </w:numPr>
            <w:tabs>
              <w:tab w:val="left" w:pos="312"/>
              <w:tab w:val="left" w:leader="dot" w:pos="7896"/>
            </w:tabs>
            <w:spacing w:before="120"/>
            <w:ind w:right="700" w:hanging="786"/>
          </w:pPr>
          <w:r>
            <w:rPr>
              <w:w w:val="105"/>
            </w:rPr>
            <w:t>Income Recognition and</w:t>
          </w:r>
          <w:r>
            <w:rPr>
              <w:spacing w:val="-18"/>
              <w:w w:val="105"/>
            </w:rPr>
            <w:t xml:space="preserve"> </w:t>
          </w:r>
          <w:r>
            <w:rPr>
              <w:w w:val="105"/>
            </w:rPr>
            <w:t>Asset</w:t>
          </w:r>
          <w:r>
            <w:rPr>
              <w:spacing w:val="-8"/>
              <w:w w:val="105"/>
            </w:rPr>
            <w:t xml:space="preserve"> </w:t>
          </w:r>
          <w:r>
            <w:rPr>
              <w:w w:val="105"/>
            </w:rPr>
            <w:t>Classification</w:t>
          </w:r>
          <w:r>
            <w:rPr>
              <w:w w:val="105"/>
            </w:rPr>
            <w:tab/>
          </w:r>
          <w:r>
            <w:rPr>
              <w:spacing w:val="-2"/>
            </w:rPr>
            <w:t>10</w:t>
          </w:r>
        </w:p>
        <w:p w14:paraId="65E5C98A" w14:textId="77777777" w:rsidR="00A06574" w:rsidRDefault="00A06574" w:rsidP="00A06574">
          <w:pPr>
            <w:pStyle w:val="TOC1"/>
            <w:numPr>
              <w:ilvl w:val="1"/>
              <w:numId w:val="10"/>
            </w:numPr>
            <w:tabs>
              <w:tab w:val="left" w:pos="312"/>
              <w:tab w:val="left" w:leader="dot" w:pos="7897"/>
            </w:tabs>
            <w:spacing w:before="122"/>
            <w:ind w:right="699" w:hanging="786"/>
          </w:pPr>
          <w:r>
            <w:rPr>
              <w:w w:val="105"/>
            </w:rPr>
            <w:t>Risk Weight for</w:t>
          </w:r>
          <w:r>
            <w:rPr>
              <w:spacing w:val="-22"/>
              <w:w w:val="105"/>
            </w:rPr>
            <w:t xml:space="preserve"> </w:t>
          </w:r>
          <w:r>
            <w:rPr>
              <w:w w:val="105"/>
            </w:rPr>
            <w:t>Capital</w:t>
          </w:r>
          <w:r>
            <w:rPr>
              <w:spacing w:val="-1"/>
              <w:w w:val="105"/>
            </w:rPr>
            <w:t xml:space="preserve"> </w:t>
          </w:r>
          <w:r>
            <w:rPr>
              <w:w w:val="105"/>
            </w:rPr>
            <w:t>Adequacy</w:t>
          </w:r>
          <w:r>
            <w:rPr>
              <w:w w:val="105"/>
            </w:rPr>
            <w:tab/>
          </w:r>
          <w:r>
            <w:rPr>
              <w:spacing w:val="-2"/>
            </w:rPr>
            <w:t>10</w:t>
          </w:r>
        </w:p>
        <w:p w14:paraId="3B71A70C" w14:textId="77777777" w:rsidR="00A06574" w:rsidRDefault="00A06574" w:rsidP="00A06574">
          <w:pPr>
            <w:pStyle w:val="TOC1"/>
            <w:numPr>
              <w:ilvl w:val="0"/>
              <w:numId w:val="10"/>
            </w:numPr>
            <w:tabs>
              <w:tab w:val="left" w:pos="209"/>
              <w:tab w:val="left" w:leader="dot" w:pos="8073"/>
            </w:tabs>
            <w:ind w:left="526" w:right="679" w:hanging="527"/>
          </w:pPr>
          <w:r>
            <w:rPr>
              <w:w w:val="105"/>
            </w:rPr>
            <w:t>Standard</w:t>
          </w:r>
          <w:r>
            <w:rPr>
              <w:spacing w:val="-5"/>
              <w:w w:val="105"/>
            </w:rPr>
            <w:t xml:space="preserve"> </w:t>
          </w:r>
          <w:r>
            <w:rPr>
              <w:w w:val="105"/>
            </w:rPr>
            <w:t>of</w:t>
          </w:r>
          <w:r>
            <w:rPr>
              <w:spacing w:val="-3"/>
              <w:w w:val="105"/>
            </w:rPr>
            <w:t xml:space="preserve"> </w:t>
          </w:r>
          <w:r>
            <w:rPr>
              <w:w w:val="105"/>
            </w:rPr>
            <w:t>Care</w:t>
          </w:r>
          <w:r>
            <w:rPr>
              <w:w w:val="105"/>
            </w:rPr>
            <w:tab/>
          </w:r>
          <w:r>
            <w:rPr>
              <w:spacing w:val="-1"/>
            </w:rPr>
            <w:t>10</w:t>
          </w:r>
        </w:p>
        <w:p w14:paraId="12225120" w14:textId="77777777" w:rsidR="00A06574" w:rsidRDefault="009F25AA" w:rsidP="00A06574">
          <w:pPr>
            <w:pStyle w:val="TOC1"/>
            <w:numPr>
              <w:ilvl w:val="0"/>
              <w:numId w:val="10"/>
            </w:numPr>
            <w:tabs>
              <w:tab w:val="left" w:pos="312"/>
              <w:tab w:val="left" w:leader="dot" w:pos="8051"/>
            </w:tabs>
            <w:spacing w:before="177"/>
            <w:ind w:left="629" w:right="701" w:hanging="630"/>
          </w:pPr>
          <w:hyperlink w:anchor="_TOC_250003" w:history="1">
            <w:r w:rsidR="00A06574">
              <w:rPr>
                <w:w w:val="105"/>
              </w:rPr>
              <w:t>Board</w:t>
            </w:r>
            <w:r w:rsidR="00A06574">
              <w:rPr>
                <w:spacing w:val="-5"/>
                <w:w w:val="105"/>
              </w:rPr>
              <w:t xml:space="preserve"> </w:t>
            </w:r>
            <w:r w:rsidR="00A06574">
              <w:rPr>
                <w:w w:val="105"/>
              </w:rPr>
              <w:t>Level</w:t>
            </w:r>
            <w:r w:rsidR="00A06574">
              <w:rPr>
                <w:spacing w:val="-6"/>
                <w:w w:val="105"/>
              </w:rPr>
              <w:t xml:space="preserve"> </w:t>
            </w:r>
            <w:r w:rsidR="00A06574">
              <w:rPr>
                <w:w w:val="105"/>
              </w:rPr>
              <w:t>Oversight</w:t>
            </w:r>
            <w:r w:rsidR="00A06574">
              <w:rPr>
                <w:w w:val="105"/>
              </w:rPr>
              <w:tab/>
            </w:r>
            <w:r w:rsidR="00A06574">
              <w:rPr>
                <w:spacing w:val="-2"/>
              </w:rPr>
              <w:t>11</w:t>
            </w:r>
          </w:hyperlink>
        </w:p>
        <w:p w14:paraId="498F0354" w14:textId="77777777" w:rsidR="00A06574" w:rsidRDefault="009F25AA" w:rsidP="00A06574">
          <w:pPr>
            <w:pStyle w:val="TOC1"/>
            <w:numPr>
              <w:ilvl w:val="0"/>
              <w:numId w:val="10"/>
            </w:numPr>
            <w:tabs>
              <w:tab w:val="left" w:pos="312"/>
              <w:tab w:val="left" w:leader="dot" w:pos="8052"/>
            </w:tabs>
            <w:ind w:left="629" w:right="701" w:hanging="630"/>
          </w:pPr>
          <w:hyperlink w:anchor="_TOC_250002" w:history="1">
            <w:r w:rsidR="00A06574">
              <w:rPr>
                <w:w w:val="105"/>
              </w:rPr>
              <w:t>Delegation</w:t>
            </w:r>
            <w:r w:rsidR="00A06574">
              <w:rPr>
                <w:spacing w:val="-7"/>
                <w:w w:val="105"/>
              </w:rPr>
              <w:t xml:space="preserve"> </w:t>
            </w:r>
            <w:r w:rsidR="00A06574">
              <w:rPr>
                <w:w w:val="105"/>
              </w:rPr>
              <w:t>of</w:t>
            </w:r>
            <w:r w:rsidR="00A06574">
              <w:rPr>
                <w:spacing w:val="-2"/>
                <w:w w:val="105"/>
              </w:rPr>
              <w:t xml:space="preserve"> </w:t>
            </w:r>
            <w:r w:rsidR="00A06574">
              <w:rPr>
                <w:w w:val="105"/>
              </w:rPr>
              <w:t>Authority</w:t>
            </w:r>
            <w:r w:rsidR="00A06574">
              <w:rPr>
                <w:w w:val="105"/>
              </w:rPr>
              <w:tab/>
            </w:r>
            <w:r w:rsidR="00A06574">
              <w:rPr>
                <w:spacing w:val="-2"/>
              </w:rPr>
              <w:t>11</w:t>
            </w:r>
          </w:hyperlink>
        </w:p>
        <w:p w14:paraId="0E7F8B08" w14:textId="77777777" w:rsidR="00A06574" w:rsidRDefault="009F25AA" w:rsidP="00A06574">
          <w:pPr>
            <w:pStyle w:val="TOC1"/>
            <w:numPr>
              <w:ilvl w:val="0"/>
              <w:numId w:val="10"/>
            </w:numPr>
            <w:tabs>
              <w:tab w:val="left" w:pos="312"/>
              <w:tab w:val="left" w:leader="dot" w:pos="8051"/>
            </w:tabs>
            <w:spacing w:before="120"/>
            <w:ind w:left="629" w:right="701" w:hanging="630"/>
          </w:pPr>
          <w:hyperlink w:anchor="_TOC_250001" w:history="1">
            <w:r w:rsidR="00A06574">
              <w:rPr>
                <w:w w:val="105"/>
              </w:rPr>
              <w:t>Checks</w:t>
            </w:r>
            <w:r w:rsidR="00A06574">
              <w:rPr>
                <w:spacing w:val="-4"/>
                <w:w w:val="105"/>
              </w:rPr>
              <w:t xml:space="preserve"> </w:t>
            </w:r>
            <w:r w:rsidR="00A06574">
              <w:rPr>
                <w:w w:val="105"/>
              </w:rPr>
              <w:t>&amp;</w:t>
            </w:r>
            <w:r w:rsidR="00A06574">
              <w:rPr>
                <w:spacing w:val="-5"/>
                <w:w w:val="105"/>
              </w:rPr>
              <w:t xml:space="preserve"> </w:t>
            </w:r>
            <w:r w:rsidR="00A06574">
              <w:rPr>
                <w:w w:val="105"/>
              </w:rPr>
              <w:t>Balances</w:t>
            </w:r>
            <w:r w:rsidR="00A06574">
              <w:rPr>
                <w:w w:val="105"/>
              </w:rPr>
              <w:tab/>
            </w:r>
            <w:r w:rsidR="00A06574">
              <w:rPr>
                <w:spacing w:val="-2"/>
              </w:rPr>
              <w:t>11</w:t>
            </w:r>
          </w:hyperlink>
        </w:p>
        <w:p w14:paraId="4E055965" w14:textId="20CDACD4" w:rsidR="00A06574" w:rsidRDefault="00A06574" w:rsidP="00A06574">
          <w:pPr>
            <w:pStyle w:val="TOC1"/>
            <w:numPr>
              <w:ilvl w:val="0"/>
              <w:numId w:val="10"/>
            </w:numPr>
            <w:tabs>
              <w:tab w:val="left" w:pos="312"/>
              <w:tab w:val="left" w:leader="dot" w:pos="8051"/>
            </w:tabs>
            <w:spacing w:before="122"/>
            <w:ind w:left="629" w:right="702" w:hanging="630"/>
          </w:pPr>
          <w:r>
            <w:rPr>
              <w:w w:val="105"/>
            </w:rPr>
            <w:t>Custody</w:t>
          </w:r>
          <w:r>
            <w:rPr>
              <w:spacing w:val="-3"/>
              <w:w w:val="105"/>
            </w:rPr>
            <w:t xml:space="preserve"> </w:t>
          </w:r>
          <w:r>
            <w:rPr>
              <w:w w:val="105"/>
            </w:rPr>
            <w:t>of</w:t>
          </w:r>
          <w:r>
            <w:rPr>
              <w:spacing w:val="-4"/>
              <w:w w:val="105"/>
            </w:rPr>
            <w:t xml:space="preserve"> </w:t>
          </w:r>
          <w:r>
            <w:rPr>
              <w:w w:val="105"/>
            </w:rPr>
            <w:t>Scrip</w:t>
          </w:r>
          <w:r>
            <w:rPr>
              <w:w w:val="105"/>
            </w:rPr>
            <w:tab/>
          </w:r>
          <w:r>
            <w:rPr>
              <w:spacing w:val="-2"/>
            </w:rPr>
            <w:t>1</w:t>
          </w:r>
          <w:r w:rsidR="003C5475">
            <w:rPr>
              <w:spacing w:val="-2"/>
            </w:rPr>
            <w:t>1</w:t>
          </w:r>
        </w:p>
        <w:p w14:paraId="3E4346F7" w14:textId="280960B1" w:rsidR="00A06574" w:rsidRDefault="009F25AA" w:rsidP="00A06574">
          <w:pPr>
            <w:pStyle w:val="TOC1"/>
            <w:numPr>
              <w:ilvl w:val="0"/>
              <w:numId w:val="10"/>
            </w:numPr>
            <w:tabs>
              <w:tab w:val="left" w:pos="312"/>
              <w:tab w:val="left" w:leader="dot" w:pos="8051"/>
            </w:tabs>
            <w:ind w:left="629" w:right="701" w:hanging="630"/>
          </w:pPr>
          <w:hyperlink w:anchor="_TOC_250000" w:history="1">
            <w:r w:rsidR="00A06574">
              <w:rPr>
                <w:w w:val="105"/>
              </w:rPr>
              <w:t>Performance Review</w:t>
            </w:r>
            <w:r w:rsidR="00A06574">
              <w:rPr>
                <w:spacing w:val="-9"/>
                <w:w w:val="105"/>
              </w:rPr>
              <w:t xml:space="preserve"> </w:t>
            </w:r>
            <w:r w:rsidR="00A06574">
              <w:rPr>
                <w:w w:val="105"/>
              </w:rPr>
              <w:t>&amp;</w:t>
            </w:r>
            <w:r w:rsidR="00A06574">
              <w:rPr>
                <w:spacing w:val="-8"/>
                <w:w w:val="105"/>
              </w:rPr>
              <w:t xml:space="preserve"> </w:t>
            </w:r>
            <w:r w:rsidR="00A06574">
              <w:rPr>
                <w:w w:val="105"/>
              </w:rPr>
              <w:t>Reporting</w:t>
            </w:r>
            <w:r w:rsidR="00A06574">
              <w:rPr>
                <w:w w:val="105"/>
              </w:rPr>
              <w:tab/>
            </w:r>
            <w:r w:rsidR="00A06574">
              <w:rPr>
                <w:spacing w:val="-2"/>
              </w:rPr>
              <w:t>1</w:t>
            </w:r>
            <w:r w:rsidR="003C5475">
              <w:rPr>
                <w:spacing w:val="-2"/>
              </w:rPr>
              <w:t>1</w:t>
            </w:r>
          </w:hyperlink>
        </w:p>
      </w:sdtContent>
    </w:sdt>
    <w:p w14:paraId="36065250" w14:textId="77777777" w:rsidR="00A06574" w:rsidRDefault="00A06574" w:rsidP="00A06574">
      <w:pPr>
        <w:jc w:val="right"/>
        <w:sectPr w:rsidR="00A06574" w:rsidSect="008341A2">
          <w:pgSz w:w="12240" w:h="15840"/>
          <w:pgMar w:top="1220" w:right="1360" w:bottom="2120" w:left="1600" w:header="451" w:footer="1928" w:gutter="0"/>
          <w:cols w:space="720"/>
        </w:sectPr>
      </w:pPr>
    </w:p>
    <w:p w14:paraId="2B90A613" w14:textId="1D959126" w:rsidR="00A06574" w:rsidRDefault="00A06574" w:rsidP="00A06574">
      <w:pPr>
        <w:pStyle w:val="BodyText"/>
        <w:spacing w:before="6"/>
        <w:rPr>
          <w:b/>
          <w:sz w:val="36"/>
        </w:rPr>
      </w:pPr>
      <w:r>
        <w:rPr>
          <w:noProof/>
          <w:lang w:val="en-IN" w:eastAsia="en-IN" w:bidi="ar-SA"/>
        </w:rPr>
        <w:lastRenderedPageBreak/>
        <w:drawing>
          <wp:anchor distT="0" distB="0" distL="0" distR="0" simplePos="0" relativeHeight="251661312" behindDoc="0" locked="0" layoutInCell="1" allowOverlap="1" wp14:anchorId="0904ABAB" wp14:editId="133A7346">
            <wp:simplePos x="0" y="0"/>
            <wp:positionH relativeFrom="page">
              <wp:posOffset>1095755</wp:posOffset>
            </wp:positionH>
            <wp:positionV relativeFrom="page">
              <wp:posOffset>303276</wp:posOffset>
            </wp:positionV>
            <wp:extent cx="1100327" cy="339851"/>
            <wp:effectExtent l="0" t="0" r="0" b="0"/>
            <wp:wrapNone/>
            <wp:docPr id="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jpeg"/>
                    <pic:cNvPicPr/>
                  </pic:nvPicPr>
                  <pic:blipFill>
                    <a:blip r:embed="rId7" cstate="print"/>
                    <a:stretch>
                      <a:fillRect/>
                    </a:stretch>
                  </pic:blipFill>
                  <pic:spPr>
                    <a:xfrm>
                      <a:off x="0" y="0"/>
                      <a:ext cx="1100327" cy="339851"/>
                    </a:xfrm>
                    <a:prstGeom prst="rect">
                      <a:avLst/>
                    </a:prstGeom>
                  </pic:spPr>
                </pic:pic>
              </a:graphicData>
            </a:graphic>
          </wp:anchor>
        </w:drawing>
      </w:r>
    </w:p>
    <w:p w14:paraId="673FE6AA" w14:textId="77777777" w:rsidR="00A06574" w:rsidRDefault="00A06574" w:rsidP="009752F1">
      <w:pPr>
        <w:pStyle w:val="Heading1"/>
        <w:numPr>
          <w:ilvl w:val="0"/>
          <w:numId w:val="9"/>
        </w:numPr>
        <w:tabs>
          <w:tab w:val="left" w:pos="360"/>
        </w:tabs>
        <w:ind w:hanging="446"/>
        <w:jc w:val="left"/>
      </w:pPr>
      <w:bookmarkStart w:id="1" w:name="_TOC_250014"/>
      <w:bookmarkEnd w:id="1"/>
      <w:r>
        <w:t>Introduction</w:t>
      </w:r>
    </w:p>
    <w:p w14:paraId="03AB761B" w14:textId="145B7279" w:rsidR="00A06574" w:rsidRDefault="00A06574" w:rsidP="008F74BC">
      <w:pPr>
        <w:pStyle w:val="BodyText"/>
        <w:tabs>
          <w:tab w:val="left" w:pos="8370"/>
        </w:tabs>
        <w:spacing w:before="162" w:line="266" w:lineRule="auto"/>
        <w:ind w:right="10"/>
        <w:jc w:val="both"/>
      </w:pPr>
      <w:r>
        <w:t>Manappuram Finance Ltd (MAFIL) is registered with the Reserve Bank of India as a Systemically Important, Non-Deposit taking, Non-Banking Finance Company (NBFC- ND-SI). It is listed in the Mumbai Stock exchange, National Stock Exchange and as such governed by the SEBI Rules and Regulations and the Companies Act, 1956, in addition to the oversight of the Department of Banking Supervision (DBS) of Reserve Bank of</w:t>
      </w:r>
      <w:r>
        <w:rPr>
          <w:spacing w:val="-4"/>
        </w:rPr>
        <w:t xml:space="preserve"> </w:t>
      </w:r>
      <w:r>
        <w:t>India.</w:t>
      </w:r>
      <w:r w:rsidR="00844223">
        <w:t xml:space="preserve"> As per the RBI circular dated October 22,2021</w:t>
      </w:r>
      <w:r w:rsidR="008F74BC">
        <w:t>,</w:t>
      </w:r>
      <w:r w:rsidR="00844223">
        <w:t xml:space="preserve"> MAFIL has </w:t>
      </w:r>
      <w:r w:rsidR="008F74BC">
        <w:t xml:space="preserve">been </w:t>
      </w:r>
      <w:r w:rsidR="00844223">
        <w:t>classified a NBFC – Middle Layer</w:t>
      </w:r>
      <w:r w:rsidR="008F74BC">
        <w:t xml:space="preserve"> as per the Scale Based Regulations (SBR),</w:t>
      </w:r>
    </w:p>
    <w:p w14:paraId="63DEA8BF" w14:textId="77777777" w:rsidR="00A06574" w:rsidRDefault="00A06574" w:rsidP="009752F1">
      <w:pPr>
        <w:pStyle w:val="BodyText"/>
        <w:spacing w:before="144" w:line="247" w:lineRule="auto"/>
        <w:ind w:right="10"/>
        <w:jc w:val="both"/>
      </w:pPr>
      <w:r>
        <w:t>As per the Master Directions DNBR.PD.008.10.119/2026-17 dt. September 01, 2016 updated as on 16/5/2019, NBFC-ND-SI are required to frame an investment policy and implement the same. Major guidance through the policy shall cover the following.</w:t>
      </w:r>
    </w:p>
    <w:p w14:paraId="6FFC9767" w14:textId="77777777" w:rsidR="00A06574" w:rsidRPr="009752F1" w:rsidRDefault="00A06574" w:rsidP="00A06574">
      <w:pPr>
        <w:pStyle w:val="BodyText"/>
        <w:spacing w:before="4"/>
        <w:rPr>
          <w:sz w:val="10"/>
        </w:rPr>
      </w:pPr>
    </w:p>
    <w:p w14:paraId="48493976" w14:textId="77777777" w:rsidR="00A06574" w:rsidRDefault="00A06574" w:rsidP="00A06574">
      <w:pPr>
        <w:pStyle w:val="ListParagraph"/>
        <w:numPr>
          <w:ilvl w:val="1"/>
          <w:numId w:val="9"/>
        </w:numPr>
        <w:tabs>
          <w:tab w:val="left" w:pos="533"/>
        </w:tabs>
      </w:pPr>
      <w:r>
        <w:t>Criteria to classify investments into current and long-term</w:t>
      </w:r>
      <w:r>
        <w:rPr>
          <w:spacing w:val="35"/>
        </w:rPr>
        <w:t xml:space="preserve"> </w:t>
      </w:r>
      <w:r>
        <w:t>investments.</w:t>
      </w:r>
    </w:p>
    <w:p w14:paraId="3C2E4533" w14:textId="77777777" w:rsidR="00A06574" w:rsidRDefault="00A06574" w:rsidP="00A06574">
      <w:pPr>
        <w:pStyle w:val="ListParagraph"/>
        <w:numPr>
          <w:ilvl w:val="1"/>
          <w:numId w:val="9"/>
        </w:numPr>
        <w:tabs>
          <w:tab w:val="left" w:pos="533"/>
          <w:tab w:val="left" w:pos="8550"/>
        </w:tabs>
        <w:spacing w:before="6" w:line="244" w:lineRule="auto"/>
        <w:ind w:left="533" w:right="10" w:hanging="339"/>
        <w:jc w:val="both"/>
      </w:pPr>
      <w:r>
        <w:t>Periodicity for inter – class transfer of investments ie. transfer from current to long- term and vice</w:t>
      </w:r>
      <w:r>
        <w:rPr>
          <w:spacing w:val="4"/>
        </w:rPr>
        <w:t xml:space="preserve"> </w:t>
      </w:r>
      <w:r>
        <w:t>versa.</w:t>
      </w:r>
    </w:p>
    <w:p w14:paraId="56218D7E" w14:textId="77777777" w:rsidR="00A06574" w:rsidRPr="009752F1" w:rsidRDefault="00A06574" w:rsidP="00A06574">
      <w:pPr>
        <w:pStyle w:val="BodyText"/>
        <w:spacing w:before="9"/>
        <w:rPr>
          <w:sz w:val="10"/>
        </w:rPr>
      </w:pPr>
    </w:p>
    <w:p w14:paraId="603DFE0D" w14:textId="77777777" w:rsidR="00A06574" w:rsidRDefault="00A06574" w:rsidP="009752F1">
      <w:pPr>
        <w:pStyle w:val="BodyText"/>
        <w:spacing w:line="244" w:lineRule="auto"/>
        <w:ind w:right="10"/>
        <w:jc w:val="both"/>
      </w:pPr>
      <w:r>
        <w:t>Accordingly, Board approved an investment policy in its meeting dt.12/2/2016 and the current policy is its renewal with updates based on the regulatory guidelines and business needs.</w:t>
      </w:r>
    </w:p>
    <w:p w14:paraId="45482C69" w14:textId="77777777" w:rsidR="00A06574" w:rsidRDefault="00A06574" w:rsidP="009752F1">
      <w:pPr>
        <w:pStyle w:val="BodyText"/>
        <w:rPr>
          <w:sz w:val="23"/>
        </w:rPr>
      </w:pPr>
    </w:p>
    <w:p w14:paraId="7CDCA35D" w14:textId="77777777" w:rsidR="00A06574" w:rsidRDefault="00A06574" w:rsidP="009752F1">
      <w:pPr>
        <w:pStyle w:val="BodyText"/>
        <w:spacing w:line="244" w:lineRule="auto"/>
        <w:ind w:right="10"/>
        <w:jc w:val="both"/>
      </w:pPr>
      <w:r>
        <w:t>The policy aims at laying down guidelines, procedures to be adhered to while undertaking investments.</w:t>
      </w:r>
    </w:p>
    <w:p w14:paraId="7D9E2E83" w14:textId="77777777" w:rsidR="00A06574" w:rsidRDefault="00A06574" w:rsidP="00A06574">
      <w:pPr>
        <w:pStyle w:val="BodyText"/>
        <w:spacing w:before="11"/>
        <w:rPr>
          <w:sz w:val="20"/>
        </w:rPr>
      </w:pPr>
    </w:p>
    <w:p w14:paraId="386B644E" w14:textId="77777777" w:rsidR="00A06574" w:rsidRDefault="00A06574" w:rsidP="009752F1">
      <w:pPr>
        <w:pStyle w:val="Heading1"/>
        <w:numPr>
          <w:ilvl w:val="0"/>
          <w:numId w:val="9"/>
        </w:numPr>
        <w:tabs>
          <w:tab w:val="left" w:pos="360"/>
        </w:tabs>
        <w:ind w:left="485" w:hanging="485"/>
        <w:jc w:val="left"/>
        <w:rPr>
          <w:sz w:val="22"/>
        </w:rPr>
      </w:pPr>
      <w:bookmarkStart w:id="2" w:name="_TOC_250013"/>
      <w:bookmarkEnd w:id="2"/>
      <w:r>
        <w:t>Objectives</w:t>
      </w:r>
    </w:p>
    <w:p w14:paraId="0AF3E2F9" w14:textId="77777777" w:rsidR="00A06574" w:rsidRPr="009752F1" w:rsidRDefault="00A06574" w:rsidP="00A06574">
      <w:pPr>
        <w:pStyle w:val="BodyText"/>
        <w:spacing w:before="4"/>
        <w:rPr>
          <w:b/>
          <w:sz w:val="12"/>
        </w:rPr>
      </w:pPr>
    </w:p>
    <w:p w14:paraId="49572DBE" w14:textId="77777777" w:rsidR="00A06574" w:rsidRDefault="00A06574" w:rsidP="009752F1">
      <w:pPr>
        <w:pStyle w:val="BodyText"/>
        <w:ind w:left="108" w:hanging="108"/>
      </w:pPr>
      <w:r>
        <w:t>The broad objectives of the policy are:</w:t>
      </w:r>
    </w:p>
    <w:p w14:paraId="3082B036" w14:textId="77777777" w:rsidR="00A06574" w:rsidRPr="009752F1" w:rsidRDefault="00A06574" w:rsidP="00A06574">
      <w:pPr>
        <w:pStyle w:val="BodyText"/>
        <w:spacing w:before="2"/>
        <w:rPr>
          <w:sz w:val="14"/>
        </w:rPr>
      </w:pPr>
    </w:p>
    <w:p w14:paraId="20AEC775" w14:textId="77777777" w:rsidR="00A06574" w:rsidRDefault="00A06574" w:rsidP="00A06574">
      <w:pPr>
        <w:pStyle w:val="ListParagraph"/>
        <w:numPr>
          <w:ilvl w:val="1"/>
          <w:numId w:val="9"/>
        </w:numPr>
        <w:tabs>
          <w:tab w:val="left" w:pos="533"/>
        </w:tabs>
      </w:pPr>
      <w:r>
        <w:t>To invest surplus funds effectively in liquid</w:t>
      </w:r>
      <w:r>
        <w:rPr>
          <w:spacing w:val="15"/>
        </w:rPr>
        <w:t xml:space="preserve"> </w:t>
      </w:r>
      <w:r>
        <w:t>instruments.</w:t>
      </w:r>
    </w:p>
    <w:p w14:paraId="6C26A40D" w14:textId="77777777" w:rsidR="00A06574" w:rsidRDefault="00A06574" w:rsidP="00A06574">
      <w:pPr>
        <w:pStyle w:val="ListParagraph"/>
        <w:numPr>
          <w:ilvl w:val="1"/>
          <w:numId w:val="9"/>
        </w:numPr>
        <w:tabs>
          <w:tab w:val="left" w:pos="533"/>
        </w:tabs>
        <w:spacing w:before="6" w:line="247" w:lineRule="auto"/>
        <w:ind w:left="572" w:right="10" w:hanging="378"/>
        <w:jc w:val="both"/>
      </w:pPr>
      <w:r>
        <w:t>To seek optimum yield within reasonable level of risk in consonance with liquidity management.</w:t>
      </w:r>
    </w:p>
    <w:p w14:paraId="21706AAE" w14:textId="77777777" w:rsidR="00A06574" w:rsidRDefault="00A06574" w:rsidP="00A06574">
      <w:pPr>
        <w:pStyle w:val="ListParagraph"/>
        <w:numPr>
          <w:ilvl w:val="1"/>
          <w:numId w:val="9"/>
        </w:numPr>
        <w:tabs>
          <w:tab w:val="left" w:pos="533"/>
        </w:tabs>
        <w:spacing w:line="244" w:lineRule="auto"/>
        <w:ind w:left="572" w:right="10" w:hanging="378"/>
        <w:jc w:val="both"/>
      </w:pPr>
      <w:r>
        <w:t>To maintain adequate buffer/develop a contingency strategy for creating liquidity in the event of requirement of funds for unforeseen</w:t>
      </w:r>
      <w:r>
        <w:rPr>
          <w:spacing w:val="47"/>
        </w:rPr>
        <w:t xml:space="preserve"> </w:t>
      </w:r>
      <w:r>
        <w:t>circumstances.</w:t>
      </w:r>
    </w:p>
    <w:p w14:paraId="70B954AC" w14:textId="77777777" w:rsidR="00A06574" w:rsidRDefault="00A06574" w:rsidP="00A06574">
      <w:pPr>
        <w:pStyle w:val="ListParagraph"/>
        <w:numPr>
          <w:ilvl w:val="1"/>
          <w:numId w:val="9"/>
        </w:numPr>
        <w:tabs>
          <w:tab w:val="left" w:pos="533"/>
        </w:tabs>
        <w:spacing w:before="2" w:line="244" w:lineRule="auto"/>
        <w:ind w:left="572" w:right="10" w:hanging="378"/>
        <w:jc w:val="both"/>
      </w:pPr>
      <w:r>
        <w:t>To create a well-diversified portfolio of different instruments across varied maturities with sufficient measures taken to safeguard against liquidity risk, credit risk and interest rate/exchange</w:t>
      </w:r>
      <w:r>
        <w:rPr>
          <w:spacing w:val="7"/>
        </w:rPr>
        <w:t xml:space="preserve"> </w:t>
      </w:r>
      <w:r>
        <w:t>risk.</w:t>
      </w:r>
    </w:p>
    <w:p w14:paraId="10F244EC" w14:textId="77777777" w:rsidR="00A06574" w:rsidRDefault="00A06574" w:rsidP="00A06574">
      <w:pPr>
        <w:pStyle w:val="ListParagraph"/>
        <w:numPr>
          <w:ilvl w:val="1"/>
          <w:numId w:val="9"/>
        </w:numPr>
        <w:tabs>
          <w:tab w:val="left" w:pos="533"/>
        </w:tabs>
        <w:spacing w:before="4"/>
        <w:ind w:right="10"/>
        <w:jc w:val="both"/>
      </w:pPr>
      <w:r>
        <w:t>To comply with RBI and other statutory guidelines related to</w:t>
      </w:r>
      <w:r>
        <w:rPr>
          <w:spacing w:val="54"/>
        </w:rPr>
        <w:t xml:space="preserve"> </w:t>
      </w:r>
      <w:r>
        <w:t>investments.</w:t>
      </w:r>
    </w:p>
    <w:p w14:paraId="6AA65D2B" w14:textId="77777777" w:rsidR="009752F1" w:rsidRDefault="00A06574" w:rsidP="009752F1">
      <w:pPr>
        <w:pStyle w:val="BodyText"/>
        <w:spacing w:before="5"/>
      </w:pPr>
      <w:r>
        <w:rPr>
          <w:noProof/>
          <w:lang w:val="en-IN" w:eastAsia="en-IN" w:bidi="ar-SA"/>
        </w:rPr>
        <w:drawing>
          <wp:anchor distT="0" distB="0" distL="0" distR="0" simplePos="0" relativeHeight="251662336" behindDoc="0" locked="0" layoutInCell="1" allowOverlap="1" wp14:anchorId="44650817" wp14:editId="72F43504">
            <wp:simplePos x="0" y="0"/>
            <wp:positionH relativeFrom="page">
              <wp:posOffset>1095755</wp:posOffset>
            </wp:positionH>
            <wp:positionV relativeFrom="page">
              <wp:posOffset>303276</wp:posOffset>
            </wp:positionV>
            <wp:extent cx="1100327" cy="339851"/>
            <wp:effectExtent l="0" t="0" r="0" b="0"/>
            <wp:wrapNone/>
            <wp:docPr id="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jpeg"/>
                    <pic:cNvPicPr/>
                  </pic:nvPicPr>
                  <pic:blipFill>
                    <a:blip r:embed="rId7" cstate="print"/>
                    <a:stretch>
                      <a:fillRect/>
                    </a:stretch>
                  </pic:blipFill>
                  <pic:spPr>
                    <a:xfrm>
                      <a:off x="0" y="0"/>
                      <a:ext cx="1100327" cy="339851"/>
                    </a:xfrm>
                    <a:prstGeom prst="rect">
                      <a:avLst/>
                    </a:prstGeom>
                  </pic:spPr>
                </pic:pic>
              </a:graphicData>
            </a:graphic>
          </wp:anchor>
        </w:drawing>
      </w:r>
      <w:bookmarkStart w:id="3" w:name="_TOC_250012"/>
      <w:bookmarkEnd w:id="3"/>
    </w:p>
    <w:p w14:paraId="22EAE535" w14:textId="3313E516" w:rsidR="00A06574" w:rsidRPr="009752F1" w:rsidRDefault="00A06574" w:rsidP="008B6E95">
      <w:pPr>
        <w:pStyle w:val="BodyText"/>
        <w:numPr>
          <w:ilvl w:val="0"/>
          <w:numId w:val="9"/>
        </w:numPr>
        <w:spacing w:before="5"/>
        <w:ind w:left="360" w:hanging="360"/>
        <w:jc w:val="left"/>
        <w:rPr>
          <w:b/>
        </w:rPr>
      </w:pPr>
      <w:r w:rsidRPr="009752F1">
        <w:rPr>
          <w:b/>
        </w:rPr>
        <w:t>Definitions</w:t>
      </w:r>
    </w:p>
    <w:p w14:paraId="2867F161" w14:textId="77777777" w:rsidR="00A06574" w:rsidRPr="008B6E95" w:rsidRDefault="00A06574" w:rsidP="00A06574">
      <w:pPr>
        <w:pStyle w:val="BodyText"/>
        <w:spacing w:before="3"/>
        <w:rPr>
          <w:b/>
          <w:sz w:val="10"/>
        </w:rPr>
      </w:pPr>
    </w:p>
    <w:p w14:paraId="36A3E8E3" w14:textId="77777777" w:rsidR="00A06574" w:rsidRDefault="00A06574" w:rsidP="00EB48E8">
      <w:pPr>
        <w:pStyle w:val="ListParagraph"/>
        <w:numPr>
          <w:ilvl w:val="1"/>
          <w:numId w:val="9"/>
        </w:numPr>
        <w:tabs>
          <w:tab w:val="left" w:pos="540"/>
          <w:tab w:val="left" w:pos="8550"/>
        </w:tabs>
        <w:spacing w:line="276" w:lineRule="auto"/>
        <w:ind w:left="540" w:right="10" w:hanging="360"/>
        <w:jc w:val="both"/>
      </w:pPr>
      <w:r>
        <w:t>Break up value: Means the equity capital and reserves as reduced by intangible assets and revaluation reserves, divided by the number of equity shares of the investee</w:t>
      </w:r>
      <w:r>
        <w:rPr>
          <w:spacing w:val="1"/>
        </w:rPr>
        <w:t xml:space="preserve"> </w:t>
      </w:r>
      <w:r>
        <w:t>company.</w:t>
      </w:r>
    </w:p>
    <w:p w14:paraId="492A0D5A" w14:textId="77777777" w:rsidR="00A06574" w:rsidRDefault="00A06574" w:rsidP="00EB48E8">
      <w:pPr>
        <w:pStyle w:val="ListParagraph"/>
        <w:numPr>
          <w:ilvl w:val="1"/>
          <w:numId w:val="9"/>
        </w:numPr>
        <w:tabs>
          <w:tab w:val="left" w:pos="540"/>
          <w:tab w:val="left" w:pos="8550"/>
        </w:tabs>
        <w:spacing w:before="3" w:line="276" w:lineRule="auto"/>
        <w:ind w:left="540" w:right="10" w:hanging="360"/>
        <w:jc w:val="both"/>
      </w:pPr>
      <w:r>
        <w:t>Carrying cost: Book value of the assets and interest accrued thereon but not received.</w:t>
      </w:r>
    </w:p>
    <w:p w14:paraId="6D4F1B12" w14:textId="77777777" w:rsidR="00A06574" w:rsidRDefault="00A06574" w:rsidP="00EB48E8">
      <w:pPr>
        <w:pStyle w:val="ListParagraph"/>
        <w:numPr>
          <w:ilvl w:val="1"/>
          <w:numId w:val="9"/>
        </w:numPr>
        <w:tabs>
          <w:tab w:val="left" w:pos="540"/>
          <w:tab w:val="left" w:pos="8550"/>
        </w:tabs>
        <w:spacing w:before="3" w:line="276" w:lineRule="auto"/>
        <w:ind w:left="540" w:right="10" w:hanging="360"/>
        <w:jc w:val="both"/>
      </w:pPr>
      <w:r>
        <w:t xml:space="preserve">Current investments: An investment which is by its nature readily realizable and is intended to be held for </w:t>
      </w:r>
      <w:r>
        <w:rPr>
          <w:spacing w:val="-2"/>
        </w:rPr>
        <w:t xml:space="preserve">not </w:t>
      </w:r>
      <w:r>
        <w:t>more than one year from the date on which such investment is</w:t>
      </w:r>
      <w:r>
        <w:rPr>
          <w:spacing w:val="8"/>
        </w:rPr>
        <w:t xml:space="preserve"> </w:t>
      </w:r>
      <w:r>
        <w:t>made.</w:t>
      </w:r>
    </w:p>
    <w:p w14:paraId="0ECE7887" w14:textId="77777777" w:rsidR="00A06574" w:rsidRDefault="00A06574" w:rsidP="00EB48E8">
      <w:pPr>
        <w:pStyle w:val="ListParagraph"/>
        <w:numPr>
          <w:ilvl w:val="1"/>
          <w:numId w:val="9"/>
        </w:numPr>
        <w:tabs>
          <w:tab w:val="left" w:pos="540"/>
          <w:tab w:val="left" w:pos="8550"/>
        </w:tabs>
        <w:spacing w:before="3" w:line="276" w:lineRule="auto"/>
        <w:ind w:left="540" w:right="10" w:hanging="360"/>
        <w:jc w:val="both"/>
      </w:pPr>
      <w:r>
        <w:t>Fair value: Mean of the earning value and the break up</w:t>
      </w:r>
      <w:r>
        <w:rPr>
          <w:spacing w:val="43"/>
        </w:rPr>
        <w:t xml:space="preserve"> </w:t>
      </w:r>
      <w:r>
        <w:t>value.</w:t>
      </w:r>
    </w:p>
    <w:p w14:paraId="21F2979B" w14:textId="77777777" w:rsidR="00A06574" w:rsidRDefault="00A06574" w:rsidP="00EB48E8">
      <w:pPr>
        <w:pStyle w:val="ListParagraph"/>
        <w:numPr>
          <w:ilvl w:val="1"/>
          <w:numId w:val="9"/>
        </w:numPr>
        <w:tabs>
          <w:tab w:val="left" w:pos="540"/>
          <w:tab w:val="left" w:pos="8550"/>
        </w:tabs>
        <w:spacing w:before="9" w:line="276" w:lineRule="auto"/>
        <w:ind w:left="540" w:right="10" w:hanging="360"/>
        <w:jc w:val="both"/>
      </w:pPr>
      <w:r>
        <w:t>Long term investments: Investments other than current</w:t>
      </w:r>
      <w:r>
        <w:rPr>
          <w:spacing w:val="47"/>
        </w:rPr>
        <w:t xml:space="preserve"> </w:t>
      </w:r>
      <w:r>
        <w:t>investments.</w:t>
      </w:r>
    </w:p>
    <w:p w14:paraId="72AED080" w14:textId="77777777" w:rsidR="00A06574" w:rsidRDefault="00A06574" w:rsidP="00EB48E8">
      <w:pPr>
        <w:pStyle w:val="ListParagraph"/>
        <w:numPr>
          <w:ilvl w:val="1"/>
          <w:numId w:val="9"/>
        </w:numPr>
        <w:tabs>
          <w:tab w:val="left" w:pos="540"/>
          <w:tab w:val="left" w:pos="8550"/>
        </w:tabs>
        <w:spacing w:before="6" w:line="276" w:lineRule="auto"/>
        <w:ind w:left="540" w:right="10" w:hanging="360"/>
        <w:jc w:val="both"/>
      </w:pPr>
      <w:r>
        <w:t xml:space="preserve">Net Asset Value: Latest net asset value declared by the mutual funds concerned in respect </w:t>
      </w:r>
      <w:r>
        <w:lastRenderedPageBreak/>
        <w:t>of that</w:t>
      </w:r>
      <w:r>
        <w:rPr>
          <w:spacing w:val="13"/>
        </w:rPr>
        <w:t xml:space="preserve"> </w:t>
      </w:r>
      <w:r>
        <w:t>scheme.</w:t>
      </w:r>
    </w:p>
    <w:p w14:paraId="5EDBEE5E" w14:textId="77777777" w:rsidR="008B6E95" w:rsidRDefault="008B6E95" w:rsidP="00A06574">
      <w:pPr>
        <w:pStyle w:val="BodyText"/>
        <w:spacing w:before="5"/>
        <w:rPr>
          <w:sz w:val="19"/>
        </w:rPr>
      </w:pPr>
    </w:p>
    <w:p w14:paraId="5DD65448" w14:textId="77777777" w:rsidR="00A06574" w:rsidRDefault="00A06574" w:rsidP="00D748E6">
      <w:pPr>
        <w:pStyle w:val="Heading2"/>
        <w:numPr>
          <w:ilvl w:val="0"/>
          <w:numId w:val="9"/>
        </w:numPr>
        <w:tabs>
          <w:tab w:val="left" w:pos="361"/>
        </w:tabs>
        <w:ind w:left="360" w:hanging="360"/>
        <w:jc w:val="left"/>
      </w:pPr>
      <w:bookmarkStart w:id="4" w:name="_TOC_250011"/>
      <w:r>
        <w:t>Regulations affecting</w:t>
      </w:r>
      <w:r>
        <w:rPr>
          <w:spacing w:val="4"/>
        </w:rPr>
        <w:t xml:space="preserve"> </w:t>
      </w:r>
      <w:bookmarkEnd w:id="4"/>
      <w:r>
        <w:t>investments:</w:t>
      </w:r>
    </w:p>
    <w:p w14:paraId="026C2AB2" w14:textId="77777777" w:rsidR="00A06574" w:rsidRDefault="00A06574" w:rsidP="00A06574">
      <w:pPr>
        <w:pStyle w:val="BodyText"/>
        <w:rPr>
          <w:b/>
          <w:sz w:val="23"/>
        </w:rPr>
      </w:pPr>
    </w:p>
    <w:p w14:paraId="0AAEAEA8" w14:textId="77777777" w:rsidR="00A06574" w:rsidRDefault="00A06574" w:rsidP="00C74CF5">
      <w:pPr>
        <w:pStyle w:val="ListParagraph"/>
        <w:numPr>
          <w:ilvl w:val="1"/>
          <w:numId w:val="8"/>
        </w:numPr>
        <w:tabs>
          <w:tab w:val="left" w:pos="709"/>
        </w:tabs>
        <w:spacing w:before="1"/>
        <w:jc w:val="both"/>
      </w:pPr>
      <w:r>
        <w:rPr>
          <w:b/>
        </w:rPr>
        <w:t xml:space="preserve">Prudential exposure ceilings: </w:t>
      </w:r>
      <w:r>
        <w:t>As per regulations, NBFC-ND-SI shall</w:t>
      </w:r>
      <w:r>
        <w:rPr>
          <w:spacing w:val="18"/>
        </w:rPr>
        <w:t xml:space="preserve"> </w:t>
      </w:r>
      <w:r>
        <w:t>not,</w:t>
      </w:r>
    </w:p>
    <w:p w14:paraId="6AD98712" w14:textId="2696F23D" w:rsidR="00D359B1" w:rsidRDefault="00D359B1" w:rsidP="00A06574">
      <w:pPr>
        <w:pStyle w:val="BodyText"/>
        <w:spacing w:before="1"/>
      </w:pPr>
      <w:r>
        <w:t>The extant credit concentration limits prescribed for NBFCs separately for lending and investments shall be merged into a single exposure limit of 25% for single borrower/ party and 40% for single group of borrowers/ parties. Further, the concentration limits shall be determined with reference to the NBFC’s Tier 1 capital instead of their Owned Fund. The revised norms are indicated in the table below</w:t>
      </w:r>
    </w:p>
    <w:tbl>
      <w:tblPr>
        <w:tblStyle w:val="TableGrid"/>
        <w:tblW w:w="0" w:type="auto"/>
        <w:tblLook w:val="04A0" w:firstRow="1" w:lastRow="0" w:firstColumn="1" w:lastColumn="0" w:noHBand="0" w:noVBand="1"/>
      </w:tblPr>
      <w:tblGrid>
        <w:gridCol w:w="4597"/>
        <w:gridCol w:w="4598"/>
      </w:tblGrid>
      <w:tr w:rsidR="008F74BC" w14:paraId="0F901335" w14:textId="77777777" w:rsidTr="006D0FF9">
        <w:trPr>
          <w:trHeight w:val="315"/>
        </w:trPr>
        <w:tc>
          <w:tcPr>
            <w:tcW w:w="9195" w:type="dxa"/>
            <w:gridSpan w:val="2"/>
            <w:shd w:val="clear" w:color="auto" w:fill="E7E6E6" w:themeFill="background2"/>
          </w:tcPr>
          <w:p w14:paraId="65B29878" w14:textId="303C1E0D" w:rsidR="008F74BC" w:rsidRPr="0033255B" w:rsidRDefault="008F74BC" w:rsidP="005C2E34">
            <w:pPr>
              <w:jc w:val="both"/>
              <w:rPr>
                <w:b/>
              </w:rPr>
            </w:pPr>
            <w:r>
              <w:rPr>
                <w:b/>
              </w:rPr>
              <w:t>L</w:t>
            </w:r>
            <w:r w:rsidRPr="0033255B">
              <w:rPr>
                <w:b/>
              </w:rPr>
              <w:t>imit (as a percentage of Tier I Capital)</w:t>
            </w:r>
          </w:p>
        </w:tc>
      </w:tr>
      <w:tr w:rsidR="008F74BC" w14:paraId="271D8B98" w14:textId="77777777" w:rsidTr="006D0FF9">
        <w:trPr>
          <w:trHeight w:val="107"/>
        </w:trPr>
        <w:tc>
          <w:tcPr>
            <w:tcW w:w="4597" w:type="dxa"/>
          </w:tcPr>
          <w:p w14:paraId="26CA0890" w14:textId="77777777" w:rsidR="008F74BC" w:rsidRDefault="008F74BC" w:rsidP="005C2E34">
            <w:pPr>
              <w:jc w:val="both"/>
            </w:pPr>
          </w:p>
        </w:tc>
        <w:tc>
          <w:tcPr>
            <w:tcW w:w="4597" w:type="dxa"/>
          </w:tcPr>
          <w:p w14:paraId="2FB753FB" w14:textId="5A49A15E" w:rsidR="008F74BC" w:rsidRDefault="008F74BC" w:rsidP="005C2E34">
            <w:pPr>
              <w:jc w:val="both"/>
            </w:pPr>
            <w:r>
              <w:t>Exposure</w:t>
            </w:r>
            <w:r w:rsidR="006D0FF9">
              <w:t xml:space="preserve"> %</w:t>
            </w:r>
          </w:p>
        </w:tc>
      </w:tr>
      <w:tr w:rsidR="008F74BC" w14:paraId="11B032F7" w14:textId="77777777" w:rsidTr="006D0FF9">
        <w:trPr>
          <w:trHeight w:val="315"/>
        </w:trPr>
        <w:tc>
          <w:tcPr>
            <w:tcW w:w="4597" w:type="dxa"/>
          </w:tcPr>
          <w:p w14:paraId="2FA91D51" w14:textId="77777777" w:rsidR="008F74BC" w:rsidRDefault="008F74BC" w:rsidP="005C2E34">
            <w:pPr>
              <w:jc w:val="both"/>
            </w:pPr>
            <w:r>
              <w:t>Single borrower/ party</w:t>
            </w:r>
          </w:p>
        </w:tc>
        <w:tc>
          <w:tcPr>
            <w:tcW w:w="4597" w:type="dxa"/>
          </w:tcPr>
          <w:p w14:paraId="05D684C5" w14:textId="77777777" w:rsidR="008F74BC" w:rsidRDefault="008F74BC" w:rsidP="005C2E34">
            <w:pPr>
              <w:jc w:val="both"/>
            </w:pPr>
            <w:r>
              <w:t>25</w:t>
            </w:r>
          </w:p>
        </w:tc>
      </w:tr>
      <w:tr w:rsidR="008F74BC" w14:paraId="7A2D7503" w14:textId="77777777" w:rsidTr="006D0FF9">
        <w:trPr>
          <w:trHeight w:val="315"/>
        </w:trPr>
        <w:tc>
          <w:tcPr>
            <w:tcW w:w="4597" w:type="dxa"/>
          </w:tcPr>
          <w:p w14:paraId="5E9261F2" w14:textId="77777777" w:rsidR="008F74BC" w:rsidRDefault="008F74BC" w:rsidP="005C2E34">
            <w:pPr>
              <w:jc w:val="both"/>
            </w:pPr>
            <w:r>
              <w:t>Single group of borrowers/ parties</w:t>
            </w:r>
          </w:p>
        </w:tc>
        <w:tc>
          <w:tcPr>
            <w:tcW w:w="4597" w:type="dxa"/>
          </w:tcPr>
          <w:p w14:paraId="30C46A44" w14:textId="77777777" w:rsidR="008F74BC" w:rsidRDefault="008F74BC" w:rsidP="005C2E34">
            <w:pPr>
              <w:jc w:val="both"/>
            </w:pPr>
            <w:r>
              <w:t>40</w:t>
            </w:r>
          </w:p>
        </w:tc>
      </w:tr>
    </w:tbl>
    <w:p w14:paraId="554EFDCC" w14:textId="77777777" w:rsidR="00D359B1" w:rsidRPr="00D748E6" w:rsidRDefault="00D359B1" w:rsidP="00A06574">
      <w:pPr>
        <w:pStyle w:val="BodyText"/>
        <w:spacing w:before="1"/>
        <w:rPr>
          <w:sz w:val="16"/>
        </w:rPr>
      </w:pPr>
    </w:p>
    <w:p w14:paraId="5F348948" w14:textId="13816176" w:rsidR="00A06574" w:rsidRDefault="00D359B1" w:rsidP="006D0FF9">
      <w:pPr>
        <w:tabs>
          <w:tab w:val="left" w:pos="771"/>
        </w:tabs>
        <w:ind w:hanging="785"/>
      </w:pPr>
      <w:r>
        <w:tab/>
      </w:r>
      <w:r w:rsidR="00A06574">
        <w:t>However, these directions are not applicable to</w:t>
      </w:r>
    </w:p>
    <w:p w14:paraId="7D8370A2" w14:textId="77777777" w:rsidR="00A06574" w:rsidRPr="00D748E6" w:rsidRDefault="00A06574" w:rsidP="00A06574">
      <w:pPr>
        <w:pStyle w:val="BodyText"/>
        <w:spacing w:before="1"/>
        <w:rPr>
          <w:sz w:val="14"/>
        </w:rPr>
      </w:pPr>
    </w:p>
    <w:p w14:paraId="3685031E" w14:textId="15C03304" w:rsidR="00A06574" w:rsidRDefault="00A06574" w:rsidP="00A06574">
      <w:pPr>
        <w:pStyle w:val="BodyText"/>
        <w:ind w:left="646"/>
      </w:pPr>
      <w:r>
        <w:t>. Investments of applicable NBFCs in shares of</w:t>
      </w:r>
    </w:p>
    <w:p w14:paraId="27D570F0" w14:textId="77777777" w:rsidR="00A06574" w:rsidRDefault="00A06574" w:rsidP="00A06574">
      <w:pPr>
        <w:pStyle w:val="BodyText"/>
        <w:spacing w:before="4"/>
        <w:rPr>
          <w:sz w:val="23"/>
        </w:rPr>
      </w:pPr>
    </w:p>
    <w:p w14:paraId="425A7543" w14:textId="77777777" w:rsidR="00A06574" w:rsidRDefault="00A06574" w:rsidP="00A06574">
      <w:pPr>
        <w:pStyle w:val="ListParagraph"/>
        <w:numPr>
          <w:ilvl w:val="0"/>
          <w:numId w:val="7"/>
        </w:numPr>
        <w:tabs>
          <w:tab w:val="left" w:pos="1381"/>
        </w:tabs>
      </w:pPr>
      <w:r>
        <w:t>Its</w:t>
      </w:r>
      <w:r>
        <w:rPr>
          <w:spacing w:val="1"/>
        </w:rPr>
        <w:t xml:space="preserve"> </w:t>
      </w:r>
      <w:r>
        <w:t>subsidiaries;</w:t>
      </w:r>
    </w:p>
    <w:p w14:paraId="23516F85" w14:textId="77777777" w:rsidR="00A06574" w:rsidRDefault="00A06574" w:rsidP="00A06574">
      <w:pPr>
        <w:pStyle w:val="ListParagraph"/>
        <w:numPr>
          <w:ilvl w:val="0"/>
          <w:numId w:val="7"/>
        </w:numPr>
        <w:tabs>
          <w:tab w:val="left" w:pos="1382"/>
        </w:tabs>
        <w:spacing w:before="6"/>
        <w:ind w:left="1381" w:hanging="340"/>
      </w:pPr>
      <w:r>
        <w:t>Companies in the same</w:t>
      </w:r>
      <w:r>
        <w:rPr>
          <w:spacing w:val="8"/>
        </w:rPr>
        <w:t xml:space="preserve"> </w:t>
      </w:r>
      <w:r>
        <w:t>group,</w:t>
      </w:r>
    </w:p>
    <w:p w14:paraId="0630158A" w14:textId="77777777" w:rsidR="00A06574" w:rsidRDefault="00A06574" w:rsidP="00A06574">
      <w:pPr>
        <w:pStyle w:val="BodyText"/>
        <w:spacing w:before="1"/>
        <w:rPr>
          <w:sz w:val="23"/>
        </w:rPr>
      </w:pPr>
    </w:p>
    <w:p w14:paraId="2A03BC0C" w14:textId="77777777" w:rsidR="00D748E6" w:rsidRDefault="00A06574" w:rsidP="00D748E6">
      <w:pPr>
        <w:pStyle w:val="BodyText"/>
        <w:ind w:left="400"/>
        <w:jc w:val="both"/>
      </w:pPr>
      <w:r>
        <w:t>to the extent they have been reduced from Owned Funds for the calculation of NOF</w:t>
      </w:r>
      <w:r w:rsidR="00D748E6">
        <w:t>.</w:t>
      </w:r>
    </w:p>
    <w:p w14:paraId="3D48639F" w14:textId="77777777" w:rsidR="00D748E6" w:rsidRDefault="00A06574" w:rsidP="00D748E6">
      <w:pPr>
        <w:pStyle w:val="BodyText"/>
        <w:ind w:left="400"/>
        <w:jc w:val="both"/>
      </w:pPr>
      <w:r>
        <w:rPr>
          <w:noProof/>
          <w:lang w:val="en-IN" w:eastAsia="en-IN" w:bidi="ar-SA"/>
        </w:rPr>
        <w:drawing>
          <wp:anchor distT="0" distB="0" distL="0" distR="0" simplePos="0" relativeHeight="251663360" behindDoc="0" locked="0" layoutInCell="1" allowOverlap="1" wp14:anchorId="1DA2D26A" wp14:editId="0A6EFF02">
            <wp:simplePos x="0" y="0"/>
            <wp:positionH relativeFrom="page">
              <wp:posOffset>1095755</wp:posOffset>
            </wp:positionH>
            <wp:positionV relativeFrom="page">
              <wp:posOffset>303276</wp:posOffset>
            </wp:positionV>
            <wp:extent cx="1100327" cy="339851"/>
            <wp:effectExtent l="0" t="0" r="0" b="0"/>
            <wp:wrapNone/>
            <wp:docPr id="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jpeg"/>
                    <pic:cNvPicPr/>
                  </pic:nvPicPr>
                  <pic:blipFill>
                    <a:blip r:embed="rId7" cstate="print"/>
                    <a:stretch>
                      <a:fillRect/>
                    </a:stretch>
                  </pic:blipFill>
                  <pic:spPr>
                    <a:xfrm>
                      <a:off x="0" y="0"/>
                      <a:ext cx="1100327" cy="339851"/>
                    </a:xfrm>
                    <a:prstGeom prst="rect">
                      <a:avLst/>
                    </a:prstGeom>
                  </pic:spPr>
                </pic:pic>
              </a:graphicData>
            </a:graphic>
          </wp:anchor>
        </w:drawing>
      </w:r>
      <w:bookmarkStart w:id="5" w:name="_TOC_250010"/>
    </w:p>
    <w:p w14:paraId="3E28EDDD" w14:textId="5262CDF5" w:rsidR="00A06574" w:rsidRDefault="00D748E6" w:rsidP="00D748E6">
      <w:pPr>
        <w:pStyle w:val="BodyText"/>
        <w:ind w:left="400" w:hanging="40"/>
        <w:jc w:val="both"/>
      </w:pPr>
      <w:r w:rsidRPr="00D748E6">
        <w:rPr>
          <w:b/>
        </w:rPr>
        <w:t xml:space="preserve">4.2 </w:t>
      </w:r>
      <w:r w:rsidR="00A06574" w:rsidRPr="00D748E6">
        <w:rPr>
          <w:b/>
        </w:rPr>
        <w:t>Accounting of</w:t>
      </w:r>
      <w:r w:rsidR="00A06574" w:rsidRPr="00D748E6">
        <w:rPr>
          <w:b/>
          <w:spacing w:val="1"/>
        </w:rPr>
        <w:t xml:space="preserve"> </w:t>
      </w:r>
      <w:bookmarkEnd w:id="5"/>
      <w:r w:rsidR="00A06574" w:rsidRPr="00D748E6">
        <w:rPr>
          <w:b/>
        </w:rPr>
        <w:t>investments</w:t>
      </w:r>
      <w:r>
        <w:rPr>
          <w:b/>
        </w:rPr>
        <w:t xml:space="preserve">: </w:t>
      </w:r>
      <w:r w:rsidR="00A06574">
        <w:t>All the investments shall be classified into current and long-term investments as specified in the investment policy spelt out by the Board. Inter – class transfer shall be subject to the following conditions:</w:t>
      </w:r>
    </w:p>
    <w:p w14:paraId="433A1565" w14:textId="77777777" w:rsidR="00A06574" w:rsidRPr="00D748E6" w:rsidRDefault="00A06574" w:rsidP="00A06574">
      <w:pPr>
        <w:pStyle w:val="BodyText"/>
        <w:spacing w:before="9"/>
        <w:rPr>
          <w:sz w:val="12"/>
        </w:rPr>
      </w:pPr>
    </w:p>
    <w:p w14:paraId="2653A2ED" w14:textId="77777777" w:rsidR="00A06574" w:rsidRDefault="00A06574" w:rsidP="00A06574">
      <w:pPr>
        <w:pStyle w:val="ListParagraph"/>
        <w:numPr>
          <w:ilvl w:val="2"/>
          <w:numId w:val="8"/>
        </w:numPr>
        <w:tabs>
          <w:tab w:val="left" w:pos="704"/>
        </w:tabs>
        <w:spacing w:before="1"/>
        <w:ind w:left="703" w:hanging="257"/>
      </w:pPr>
      <w:r>
        <w:t>There shall be no such transfer on ad-hoc</w:t>
      </w:r>
      <w:r>
        <w:rPr>
          <w:spacing w:val="20"/>
        </w:rPr>
        <w:t xml:space="preserve"> </w:t>
      </w:r>
      <w:r>
        <w:t>basis.</w:t>
      </w:r>
    </w:p>
    <w:p w14:paraId="719E32C4" w14:textId="77777777" w:rsidR="00A06574" w:rsidRDefault="00A06574" w:rsidP="00A06574">
      <w:pPr>
        <w:pStyle w:val="ListParagraph"/>
        <w:numPr>
          <w:ilvl w:val="2"/>
          <w:numId w:val="8"/>
        </w:numPr>
        <w:tabs>
          <w:tab w:val="left" w:pos="704"/>
        </w:tabs>
        <w:spacing w:before="6" w:line="244" w:lineRule="auto"/>
        <w:ind w:left="701" w:right="10" w:hanging="254"/>
        <w:jc w:val="both"/>
      </w:pPr>
      <w:r>
        <w:t>Such transfer, if warranted, shall be effected only at the beginning of each half year, on April 1 or October 1, with the approval of the</w:t>
      </w:r>
      <w:r>
        <w:rPr>
          <w:spacing w:val="55"/>
        </w:rPr>
        <w:t xml:space="preserve"> </w:t>
      </w:r>
      <w:r>
        <w:t>Board.</w:t>
      </w:r>
    </w:p>
    <w:p w14:paraId="5D0E6CC8" w14:textId="77777777" w:rsidR="00A06574" w:rsidRDefault="00A06574" w:rsidP="00A06574">
      <w:pPr>
        <w:pStyle w:val="ListParagraph"/>
        <w:numPr>
          <w:ilvl w:val="2"/>
          <w:numId w:val="8"/>
        </w:numPr>
        <w:tabs>
          <w:tab w:val="left" w:pos="704"/>
        </w:tabs>
        <w:spacing w:before="2" w:line="244" w:lineRule="auto"/>
        <w:ind w:left="701" w:right="10" w:hanging="254"/>
        <w:jc w:val="both"/>
      </w:pPr>
      <w:r>
        <w:t>Investments shall be transferred scrip- wise, from current to long-term or vice- versa, at book value or market value, whichever is</w:t>
      </w:r>
      <w:r>
        <w:rPr>
          <w:spacing w:val="37"/>
        </w:rPr>
        <w:t xml:space="preserve"> </w:t>
      </w:r>
      <w:r>
        <w:t>lower.</w:t>
      </w:r>
    </w:p>
    <w:p w14:paraId="0D701DEF" w14:textId="77777777" w:rsidR="00A06574" w:rsidRDefault="00A06574" w:rsidP="00A06574">
      <w:pPr>
        <w:pStyle w:val="ListParagraph"/>
        <w:numPr>
          <w:ilvl w:val="2"/>
          <w:numId w:val="8"/>
        </w:numPr>
        <w:tabs>
          <w:tab w:val="left" w:pos="704"/>
        </w:tabs>
        <w:spacing w:before="5" w:line="244" w:lineRule="auto"/>
        <w:ind w:left="701" w:right="10" w:hanging="254"/>
        <w:jc w:val="both"/>
      </w:pPr>
      <w:r>
        <w:t>Depreciation, if any, in each scrip shall be fully provided for and appreciation, if any, shall be</w:t>
      </w:r>
      <w:r>
        <w:rPr>
          <w:spacing w:val="5"/>
        </w:rPr>
        <w:t xml:space="preserve"> </w:t>
      </w:r>
      <w:r>
        <w:t>ignored.</w:t>
      </w:r>
    </w:p>
    <w:p w14:paraId="2139152B" w14:textId="77777777" w:rsidR="00A06574" w:rsidRDefault="00A06574" w:rsidP="00A06574">
      <w:pPr>
        <w:pStyle w:val="ListParagraph"/>
        <w:numPr>
          <w:ilvl w:val="2"/>
          <w:numId w:val="8"/>
        </w:numPr>
        <w:tabs>
          <w:tab w:val="left" w:pos="704"/>
        </w:tabs>
        <w:spacing w:before="2" w:line="244" w:lineRule="auto"/>
        <w:ind w:left="701" w:right="10" w:hanging="254"/>
        <w:jc w:val="both"/>
      </w:pPr>
      <w:r>
        <w:t>Depreciation in one scrip shall not be set off against appreciation in another scrip, at the time of such inter – class transfer, even in respect of the scrips of the same category.</w:t>
      </w:r>
    </w:p>
    <w:p w14:paraId="25EDE711" w14:textId="77777777" w:rsidR="00A06574" w:rsidRDefault="00A06574" w:rsidP="00A06574">
      <w:pPr>
        <w:pStyle w:val="BodyText"/>
        <w:spacing w:before="10"/>
      </w:pPr>
    </w:p>
    <w:p w14:paraId="32C645DA" w14:textId="77777777" w:rsidR="00A06574" w:rsidRDefault="00A06574" w:rsidP="00A06574">
      <w:pPr>
        <w:pStyle w:val="Heading2"/>
        <w:numPr>
          <w:ilvl w:val="1"/>
          <w:numId w:val="6"/>
        </w:numPr>
        <w:tabs>
          <w:tab w:val="left" w:pos="865"/>
        </w:tabs>
        <w:ind w:hanging="500"/>
      </w:pPr>
      <w:bookmarkStart w:id="6" w:name="_TOC_250009"/>
      <w:r>
        <w:t>Valuation of</w:t>
      </w:r>
      <w:r>
        <w:rPr>
          <w:spacing w:val="6"/>
        </w:rPr>
        <w:t xml:space="preserve"> </w:t>
      </w:r>
      <w:bookmarkEnd w:id="6"/>
      <w:r>
        <w:t>investments</w:t>
      </w:r>
    </w:p>
    <w:p w14:paraId="7B728B64" w14:textId="77777777" w:rsidR="00A06574" w:rsidRDefault="00A06574" w:rsidP="00A06574">
      <w:pPr>
        <w:pStyle w:val="BodyText"/>
        <w:spacing w:before="1"/>
        <w:rPr>
          <w:b/>
          <w:sz w:val="23"/>
        </w:rPr>
      </w:pPr>
    </w:p>
    <w:p w14:paraId="745A7B4E" w14:textId="77777777" w:rsidR="00A06574" w:rsidRDefault="00A06574" w:rsidP="00A06574">
      <w:pPr>
        <w:pStyle w:val="ListParagraph"/>
        <w:numPr>
          <w:ilvl w:val="2"/>
          <w:numId w:val="6"/>
        </w:numPr>
        <w:tabs>
          <w:tab w:val="left" w:pos="1073"/>
          <w:tab w:val="left" w:pos="8370"/>
        </w:tabs>
        <w:spacing w:line="247" w:lineRule="auto"/>
        <w:ind w:right="10" w:hanging="629"/>
        <w:jc w:val="both"/>
      </w:pPr>
      <w:r>
        <w:rPr>
          <w:b/>
        </w:rPr>
        <w:t xml:space="preserve">Quoted current investments: </w:t>
      </w:r>
      <w:r>
        <w:t>Such investments shall, for the purposes of valuation, be grouped into the following</w:t>
      </w:r>
      <w:r>
        <w:rPr>
          <w:spacing w:val="18"/>
        </w:rPr>
        <w:t xml:space="preserve"> </w:t>
      </w:r>
      <w:r>
        <w:t>categories</w:t>
      </w:r>
    </w:p>
    <w:p w14:paraId="4E394277" w14:textId="77777777" w:rsidR="00A06574" w:rsidRDefault="00A06574" w:rsidP="00A06574">
      <w:pPr>
        <w:pStyle w:val="ListParagraph"/>
        <w:numPr>
          <w:ilvl w:val="3"/>
          <w:numId w:val="6"/>
        </w:numPr>
        <w:tabs>
          <w:tab w:val="left" w:pos="1614"/>
        </w:tabs>
        <w:spacing w:line="253" w:lineRule="exact"/>
        <w:ind w:hanging="250"/>
      </w:pPr>
      <w:r>
        <w:t>Equity</w:t>
      </w:r>
      <w:r>
        <w:rPr>
          <w:spacing w:val="-4"/>
        </w:rPr>
        <w:t xml:space="preserve"> </w:t>
      </w:r>
      <w:r>
        <w:t>shares</w:t>
      </w:r>
    </w:p>
    <w:p w14:paraId="05B7B510" w14:textId="77777777" w:rsidR="00A06574" w:rsidRDefault="00A06574" w:rsidP="00A06574">
      <w:pPr>
        <w:pStyle w:val="ListParagraph"/>
        <w:numPr>
          <w:ilvl w:val="3"/>
          <w:numId w:val="6"/>
        </w:numPr>
        <w:tabs>
          <w:tab w:val="left" w:pos="1614"/>
        </w:tabs>
        <w:spacing w:before="8"/>
        <w:ind w:hanging="250"/>
      </w:pPr>
      <w:r>
        <w:t>Preference shares</w:t>
      </w:r>
    </w:p>
    <w:p w14:paraId="73A9D484" w14:textId="77777777" w:rsidR="00A06574" w:rsidRDefault="00A06574" w:rsidP="00A06574">
      <w:pPr>
        <w:pStyle w:val="ListParagraph"/>
        <w:numPr>
          <w:ilvl w:val="3"/>
          <w:numId w:val="6"/>
        </w:numPr>
        <w:tabs>
          <w:tab w:val="left" w:pos="1604"/>
        </w:tabs>
        <w:spacing w:before="9"/>
        <w:ind w:left="1603" w:hanging="240"/>
      </w:pPr>
      <w:r>
        <w:t>Debentures and</w:t>
      </w:r>
      <w:r>
        <w:rPr>
          <w:spacing w:val="3"/>
        </w:rPr>
        <w:t xml:space="preserve"> </w:t>
      </w:r>
      <w:r>
        <w:t>bonds.</w:t>
      </w:r>
    </w:p>
    <w:p w14:paraId="554AC483" w14:textId="77777777" w:rsidR="00A06574" w:rsidRDefault="00A06574" w:rsidP="00A06574">
      <w:pPr>
        <w:pStyle w:val="ListParagraph"/>
        <w:numPr>
          <w:ilvl w:val="3"/>
          <w:numId w:val="6"/>
        </w:numPr>
        <w:tabs>
          <w:tab w:val="left" w:pos="1614"/>
        </w:tabs>
        <w:spacing w:before="6"/>
        <w:ind w:hanging="250"/>
      </w:pPr>
      <w:r>
        <w:t>Government securities including treasury</w:t>
      </w:r>
      <w:r>
        <w:rPr>
          <w:spacing w:val="12"/>
        </w:rPr>
        <w:t xml:space="preserve"> </w:t>
      </w:r>
      <w:r>
        <w:t>bills</w:t>
      </w:r>
    </w:p>
    <w:p w14:paraId="3061B978" w14:textId="77777777" w:rsidR="00A06574" w:rsidRDefault="00A06574" w:rsidP="00A06574">
      <w:pPr>
        <w:pStyle w:val="ListParagraph"/>
        <w:numPr>
          <w:ilvl w:val="3"/>
          <w:numId w:val="6"/>
        </w:numPr>
        <w:tabs>
          <w:tab w:val="left" w:pos="1614"/>
        </w:tabs>
        <w:spacing w:before="9"/>
        <w:ind w:hanging="250"/>
      </w:pPr>
      <w:r>
        <w:t>Units of mutual</w:t>
      </w:r>
      <w:r>
        <w:rPr>
          <w:spacing w:val="4"/>
        </w:rPr>
        <w:t xml:space="preserve"> </w:t>
      </w:r>
      <w:r>
        <w:t>funds.</w:t>
      </w:r>
    </w:p>
    <w:p w14:paraId="30150F4E" w14:textId="77777777" w:rsidR="00A06574" w:rsidRDefault="00A06574" w:rsidP="00A06574">
      <w:pPr>
        <w:pStyle w:val="ListParagraph"/>
        <w:numPr>
          <w:ilvl w:val="3"/>
          <w:numId w:val="6"/>
        </w:numPr>
        <w:tabs>
          <w:tab w:val="left" w:pos="1604"/>
        </w:tabs>
        <w:spacing w:before="6"/>
        <w:ind w:left="1603" w:hanging="241"/>
      </w:pPr>
      <w:r>
        <w:t>Others.</w:t>
      </w:r>
    </w:p>
    <w:p w14:paraId="32F8ED97" w14:textId="77777777" w:rsidR="00A06574" w:rsidRDefault="00A06574" w:rsidP="00A06574">
      <w:pPr>
        <w:pStyle w:val="BodyText"/>
        <w:spacing w:before="3"/>
        <w:rPr>
          <w:sz w:val="23"/>
        </w:rPr>
      </w:pPr>
    </w:p>
    <w:p w14:paraId="12BF93EC" w14:textId="0F230620" w:rsidR="00A06574" w:rsidRDefault="00A06574" w:rsidP="00D748E6">
      <w:pPr>
        <w:pStyle w:val="BodyText"/>
        <w:spacing w:before="1" w:line="247" w:lineRule="auto"/>
        <w:ind w:left="360" w:right="10"/>
        <w:jc w:val="both"/>
      </w:pPr>
      <w:r>
        <w:t xml:space="preserve">Quoted current investments for each category shall be valued at cost or market value whichever is lower. For this purpose, the investments in each category shall be considered scrip-wise and the cost and market value aggregated for all investments in each category. If the aggregate market value for the category is less than the aggregate cost for that category, the </w:t>
      </w:r>
      <w:r>
        <w:rPr>
          <w:spacing w:val="-2"/>
        </w:rPr>
        <w:t xml:space="preserve">net </w:t>
      </w:r>
      <w:r>
        <w:t>depreciation shall be provided for or charged to the profit and loss account. If the aggregate market value for the category exceeds the aggregate cost for the category, the net appreciation shall be ignored. Depreciation in one category of investments shall not be set off against appreciation in another category.</w:t>
      </w:r>
    </w:p>
    <w:p w14:paraId="5A9A84F2" w14:textId="77777777" w:rsidR="00A06574" w:rsidRDefault="00A06574" w:rsidP="00A06574">
      <w:pPr>
        <w:pStyle w:val="BodyText"/>
        <w:spacing w:before="7"/>
        <w:rPr>
          <w:sz w:val="21"/>
        </w:rPr>
      </w:pPr>
    </w:p>
    <w:p w14:paraId="74EB2B4D" w14:textId="77777777" w:rsidR="00A06574" w:rsidRDefault="00A06574" w:rsidP="00D748E6">
      <w:pPr>
        <w:pStyle w:val="Heading2"/>
        <w:numPr>
          <w:ilvl w:val="2"/>
          <w:numId w:val="6"/>
        </w:numPr>
        <w:tabs>
          <w:tab w:val="left" w:pos="1080"/>
        </w:tabs>
        <w:ind w:left="1123" w:hanging="763"/>
        <w:jc w:val="left"/>
      </w:pPr>
      <w:bookmarkStart w:id="7" w:name="_TOC_250008"/>
      <w:r>
        <w:t>Unquoted current</w:t>
      </w:r>
      <w:r>
        <w:rPr>
          <w:spacing w:val="1"/>
        </w:rPr>
        <w:t xml:space="preserve"> </w:t>
      </w:r>
      <w:bookmarkEnd w:id="7"/>
      <w:r>
        <w:t>investments:</w:t>
      </w:r>
    </w:p>
    <w:p w14:paraId="7CE91EAE" w14:textId="77777777" w:rsidR="00A06574" w:rsidRDefault="00A06574" w:rsidP="00A06574">
      <w:pPr>
        <w:pStyle w:val="BodyText"/>
        <w:spacing w:before="1"/>
        <w:rPr>
          <w:b/>
          <w:sz w:val="23"/>
        </w:rPr>
      </w:pPr>
    </w:p>
    <w:p w14:paraId="164B0734" w14:textId="77777777" w:rsidR="00A06574" w:rsidRDefault="00A06574" w:rsidP="00D748E6">
      <w:pPr>
        <w:pStyle w:val="ListParagraph"/>
        <w:numPr>
          <w:ilvl w:val="3"/>
          <w:numId w:val="6"/>
        </w:numPr>
        <w:tabs>
          <w:tab w:val="left" w:pos="900"/>
          <w:tab w:val="left" w:pos="8640"/>
        </w:tabs>
        <w:spacing w:line="247" w:lineRule="auto"/>
        <w:ind w:left="955" w:right="10" w:hanging="415"/>
        <w:jc w:val="both"/>
      </w:pPr>
      <w:r>
        <w:t>Unquoted equity shares: Such instruments shall be valued at cost or breakup value, whichever is lower. However, non-banking financial companies may substitute fair value for the breakup value of the shares, if considered necessary. Where the balance sheet of the investee company is not available for two years, such shares shall be valued at one Rupee</w:t>
      </w:r>
      <w:r>
        <w:rPr>
          <w:spacing w:val="49"/>
        </w:rPr>
        <w:t xml:space="preserve"> </w:t>
      </w:r>
      <w:r>
        <w:t>only.</w:t>
      </w:r>
    </w:p>
    <w:p w14:paraId="57601175" w14:textId="77777777" w:rsidR="00A06574" w:rsidRDefault="00A06574" w:rsidP="00D748E6">
      <w:pPr>
        <w:pStyle w:val="ListParagraph"/>
        <w:numPr>
          <w:ilvl w:val="3"/>
          <w:numId w:val="6"/>
        </w:numPr>
        <w:tabs>
          <w:tab w:val="left" w:pos="900"/>
          <w:tab w:val="left" w:pos="8640"/>
        </w:tabs>
        <w:spacing w:line="247" w:lineRule="auto"/>
        <w:ind w:left="955" w:right="10" w:hanging="415"/>
        <w:jc w:val="both"/>
      </w:pPr>
      <w:r>
        <w:rPr>
          <w:noProof/>
          <w:lang w:val="en-IN" w:eastAsia="en-IN" w:bidi="ar-SA"/>
        </w:rPr>
        <w:drawing>
          <wp:anchor distT="0" distB="0" distL="0" distR="0" simplePos="0" relativeHeight="251664384" behindDoc="0" locked="0" layoutInCell="1" allowOverlap="1" wp14:anchorId="5F39A2AD" wp14:editId="4122B478">
            <wp:simplePos x="0" y="0"/>
            <wp:positionH relativeFrom="page">
              <wp:posOffset>1095755</wp:posOffset>
            </wp:positionH>
            <wp:positionV relativeFrom="page">
              <wp:posOffset>303276</wp:posOffset>
            </wp:positionV>
            <wp:extent cx="1100327" cy="339851"/>
            <wp:effectExtent l="0" t="0" r="0" b="0"/>
            <wp:wrapNone/>
            <wp:docPr id="1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jpeg"/>
                    <pic:cNvPicPr/>
                  </pic:nvPicPr>
                  <pic:blipFill>
                    <a:blip r:embed="rId7" cstate="print"/>
                    <a:stretch>
                      <a:fillRect/>
                    </a:stretch>
                  </pic:blipFill>
                  <pic:spPr>
                    <a:xfrm>
                      <a:off x="0" y="0"/>
                      <a:ext cx="1100327" cy="339851"/>
                    </a:xfrm>
                    <a:prstGeom prst="rect">
                      <a:avLst/>
                    </a:prstGeom>
                  </pic:spPr>
                </pic:pic>
              </a:graphicData>
            </a:graphic>
          </wp:anchor>
        </w:drawing>
      </w:r>
      <w:r>
        <w:t>Unquoted preference shares: Such investments shall be valued at cost or face value, whichever is</w:t>
      </w:r>
      <w:r w:rsidRPr="00A06574">
        <w:rPr>
          <w:spacing w:val="7"/>
        </w:rPr>
        <w:t xml:space="preserve"> </w:t>
      </w:r>
      <w:r>
        <w:t>lower.</w:t>
      </w:r>
    </w:p>
    <w:p w14:paraId="170AB056" w14:textId="74F77986" w:rsidR="00A06574" w:rsidRDefault="00A06574" w:rsidP="00D748E6">
      <w:pPr>
        <w:pStyle w:val="ListParagraph"/>
        <w:numPr>
          <w:ilvl w:val="3"/>
          <w:numId w:val="6"/>
        </w:numPr>
        <w:tabs>
          <w:tab w:val="left" w:pos="900"/>
        </w:tabs>
        <w:spacing w:line="244" w:lineRule="auto"/>
        <w:ind w:left="955" w:right="10" w:hanging="415"/>
        <w:jc w:val="both"/>
      </w:pPr>
      <w:r>
        <w:t>Investments in unquoted Government securities   o</w:t>
      </w:r>
      <w:r w:rsidR="00D748E6">
        <w:t xml:space="preserve">r   government guaranteed bonds </w:t>
      </w:r>
      <w:r>
        <w:t>shall be valued at carrying</w:t>
      </w:r>
      <w:r w:rsidRPr="00D748E6">
        <w:rPr>
          <w:spacing w:val="19"/>
        </w:rPr>
        <w:t xml:space="preserve"> </w:t>
      </w:r>
      <w:r>
        <w:t>cost.</w:t>
      </w:r>
    </w:p>
    <w:p w14:paraId="101BA24B" w14:textId="77777777" w:rsidR="00A06574" w:rsidRDefault="00A06574" w:rsidP="00D748E6">
      <w:pPr>
        <w:pStyle w:val="ListParagraph"/>
        <w:numPr>
          <w:ilvl w:val="3"/>
          <w:numId w:val="6"/>
        </w:numPr>
        <w:tabs>
          <w:tab w:val="left" w:pos="900"/>
        </w:tabs>
        <w:spacing w:before="2" w:line="244" w:lineRule="auto"/>
        <w:ind w:left="955" w:right="10" w:hanging="415"/>
        <w:jc w:val="both"/>
      </w:pPr>
      <w:r>
        <w:t>Unquoted investments in the units of mutual funds: Such investments shall be valued at the net asset value declared by the mutual fund in respect of each scheme.</w:t>
      </w:r>
    </w:p>
    <w:p w14:paraId="0F2DE2ED" w14:textId="77777777" w:rsidR="00A06574" w:rsidRDefault="00A06574" w:rsidP="00D748E6">
      <w:pPr>
        <w:pStyle w:val="ListParagraph"/>
        <w:numPr>
          <w:ilvl w:val="3"/>
          <w:numId w:val="6"/>
        </w:numPr>
        <w:tabs>
          <w:tab w:val="left" w:pos="900"/>
        </w:tabs>
        <w:spacing w:before="3"/>
        <w:ind w:left="956" w:hanging="415"/>
        <w:jc w:val="both"/>
      </w:pPr>
      <w:r>
        <w:t>Commercial papers shall be valued at carrying</w:t>
      </w:r>
      <w:r>
        <w:rPr>
          <w:spacing w:val="29"/>
        </w:rPr>
        <w:t xml:space="preserve"> </w:t>
      </w:r>
      <w:r>
        <w:t>cost.</w:t>
      </w:r>
    </w:p>
    <w:p w14:paraId="6E67631B" w14:textId="77777777" w:rsidR="00A06574" w:rsidRPr="00A06574" w:rsidRDefault="00A06574" w:rsidP="00A06574">
      <w:pPr>
        <w:pStyle w:val="BodyText"/>
        <w:rPr>
          <w:sz w:val="6"/>
        </w:rPr>
      </w:pPr>
    </w:p>
    <w:p w14:paraId="0F51E7D1" w14:textId="77777777" w:rsidR="00A06574" w:rsidRDefault="00A06574" w:rsidP="00A06574">
      <w:pPr>
        <w:pStyle w:val="BodyText"/>
        <w:spacing w:before="7"/>
        <w:rPr>
          <w:sz w:val="21"/>
        </w:rPr>
      </w:pPr>
    </w:p>
    <w:p w14:paraId="5436EAB5" w14:textId="77777777" w:rsidR="00A06574" w:rsidRDefault="00A06574" w:rsidP="00D748E6">
      <w:pPr>
        <w:pStyle w:val="ListParagraph"/>
        <w:numPr>
          <w:ilvl w:val="2"/>
          <w:numId w:val="6"/>
        </w:numPr>
        <w:tabs>
          <w:tab w:val="left" w:pos="990"/>
          <w:tab w:val="left" w:pos="8100"/>
        </w:tabs>
        <w:spacing w:line="247" w:lineRule="auto"/>
        <w:ind w:left="360" w:right="10" w:firstLine="0"/>
        <w:jc w:val="both"/>
      </w:pPr>
      <w:r>
        <w:rPr>
          <w:b/>
        </w:rPr>
        <w:t xml:space="preserve">Long term investments: </w:t>
      </w:r>
      <w:r>
        <w:t>Such investments shall be valued in accordance with the Accounting Standard issued by</w:t>
      </w:r>
      <w:r>
        <w:rPr>
          <w:spacing w:val="5"/>
        </w:rPr>
        <w:t xml:space="preserve"> </w:t>
      </w:r>
      <w:r>
        <w:t>ICAI.</w:t>
      </w:r>
    </w:p>
    <w:p w14:paraId="59D6FAEB" w14:textId="77777777" w:rsidR="00A06574" w:rsidRDefault="00A06574" w:rsidP="00A06574">
      <w:pPr>
        <w:pStyle w:val="BodyText"/>
        <w:tabs>
          <w:tab w:val="left" w:pos="8100"/>
        </w:tabs>
        <w:spacing w:before="6"/>
        <w:ind w:right="10"/>
      </w:pPr>
    </w:p>
    <w:p w14:paraId="2764E90E" w14:textId="04E005B7" w:rsidR="00A06574" w:rsidRDefault="00A06574" w:rsidP="00D748E6">
      <w:pPr>
        <w:pStyle w:val="BodyText"/>
        <w:tabs>
          <w:tab w:val="left" w:pos="8100"/>
        </w:tabs>
        <w:spacing w:line="244" w:lineRule="auto"/>
        <w:ind w:left="360" w:right="10"/>
        <w:jc w:val="both"/>
      </w:pPr>
      <w:r>
        <w:t>Unquoted debentures shall be treated as term loans or other type of credit facilities depending upon the tenure of such debentures for the purpose of income recognition and asset</w:t>
      </w:r>
      <w:r>
        <w:rPr>
          <w:spacing w:val="-19"/>
        </w:rPr>
        <w:t xml:space="preserve"> </w:t>
      </w:r>
      <w:r>
        <w:t>classification.</w:t>
      </w:r>
    </w:p>
    <w:p w14:paraId="3DF15623" w14:textId="6E82537B" w:rsidR="006B0C06" w:rsidRDefault="006B0C06" w:rsidP="006B0C06">
      <w:pPr>
        <w:pStyle w:val="BodyText"/>
        <w:tabs>
          <w:tab w:val="left" w:pos="8100"/>
        </w:tabs>
        <w:spacing w:line="244" w:lineRule="auto"/>
        <w:ind w:right="10"/>
        <w:jc w:val="both"/>
      </w:pPr>
    </w:p>
    <w:p w14:paraId="504E36A1" w14:textId="34F29FC5" w:rsidR="006B0C06" w:rsidRPr="00270873" w:rsidRDefault="006B0C06" w:rsidP="00663811">
      <w:pPr>
        <w:pStyle w:val="BodyText"/>
        <w:tabs>
          <w:tab w:val="left" w:pos="8100"/>
        </w:tabs>
        <w:spacing w:line="244" w:lineRule="auto"/>
        <w:ind w:left="360" w:right="10" w:hanging="90"/>
        <w:jc w:val="both"/>
        <w:rPr>
          <w:rFonts w:eastAsia="Times New Roman"/>
        </w:rPr>
      </w:pPr>
      <w:r w:rsidRPr="00177918">
        <w:rPr>
          <w:b/>
          <w:bCs/>
        </w:rPr>
        <w:t xml:space="preserve">  </w:t>
      </w:r>
      <w:r w:rsidR="00270873" w:rsidRPr="00270873">
        <w:rPr>
          <w:b/>
          <w:bCs/>
        </w:rPr>
        <w:t xml:space="preserve">4.3.4 </w:t>
      </w:r>
      <w:r w:rsidR="00270873">
        <w:rPr>
          <w:b/>
          <w:bCs/>
        </w:rPr>
        <w:t xml:space="preserve"> </w:t>
      </w:r>
      <w:r w:rsidR="00270873" w:rsidRPr="00270873">
        <w:rPr>
          <w:b/>
          <w:bCs/>
        </w:rPr>
        <w:t>Accounting</w:t>
      </w:r>
      <w:r w:rsidRPr="00270873">
        <w:rPr>
          <w:b/>
          <w:bCs/>
        </w:rPr>
        <w:t xml:space="preserve"> </w:t>
      </w:r>
      <w:r w:rsidR="00B31357" w:rsidRPr="00270873">
        <w:rPr>
          <w:b/>
          <w:bCs/>
        </w:rPr>
        <w:t>Treatment of I</w:t>
      </w:r>
      <w:r w:rsidRPr="00270873">
        <w:rPr>
          <w:b/>
          <w:bCs/>
        </w:rPr>
        <w:t>nvestments under Ind AS</w:t>
      </w:r>
      <w:r w:rsidR="00ED72A7" w:rsidRPr="00270873">
        <w:rPr>
          <w:b/>
          <w:bCs/>
        </w:rPr>
        <w:t xml:space="preserve">: </w:t>
      </w:r>
      <w:r w:rsidRPr="00270873">
        <w:rPr>
          <w:rFonts w:eastAsia="Times New Roman"/>
        </w:rPr>
        <w:t>Investments are categorized into either of the three buckets base</w:t>
      </w:r>
      <w:r w:rsidR="00753CBF" w:rsidRPr="00270873">
        <w:rPr>
          <w:rFonts w:eastAsia="Times New Roman"/>
        </w:rPr>
        <w:t>d on the nature of investments.</w:t>
      </w:r>
      <w:r w:rsidRPr="00270873">
        <w:rPr>
          <w:rFonts w:eastAsia="Times New Roman"/>
        </w:rPr>
        <w:t xml:space="preserve"> Long term investments initially recognized at fair value plus directly attributable transaction cost will</w:t>
      </w:r>
      <w:r w:rsidR="00973DB8" w:rsidRPr="00270873">
        <w:rPr>
          <w:rFonts w:eastAsia="Times New Roman"/>
        </w:rPr>
        <w:t xml:space="preserve"> be measured at Amortised Cost.</w:t>
      </w:r>
      <w:r w:rsidRPr="00270873">
        <w:rPr>
          <w:rFonts w:eastAsia="Times New Roman"/>
        </w:rPr>
        <w:t xml:space="preserve"> </w:t>
      </w:r>
      <w:r w:rsidR="00DE0C9E" w:rsidRPr="00270873">
        <w:rPr>
          <w:rFonts w:eastAsia="Times New Roman"/>
        </w:rPr>
        <w:t xml:space="preserve">These investments include debt instruments, investments in subsidiaries etc. </w:t>
      </w:r>
    </w:p>
    <w:p w14:paraId="0FB0116F" w14:textId="77777777" w:rsidR="00022E58" w:rsidRPr="00270873" w:rsidRDefault="00022E58" w:rsidP="00663811">
      <w:pPr>
        <w:pStyle w:val="BodyText"/>
        <w:tabs>
          <w:tab w:val="left" w:pos="8100"/>
        </w:tabs>
        <w:spacing w:line="244" w:lineRule="auto"/>
        <w:ind w:left="360" w:right="10" w:hanging="90"/>
        <w:jc w:val="both"/>
        <w:rPr>
          <w:b/>
          <w:bCs/>
          <w:sz w:val="12"/>
        </w:rPr>
      </w:pPr>
    </w:p>
    <w:p w14:paraId="782E91F9" w14:textId="6A2FF1A5" w:rsidR="00022E58" w:rsidRPr="00270873" w:rsidRDefault="006B0C06" w:rsidP="00022E58">
      <w:pPr>
        <w:tabs>
          <w:tab w:val="num" w:pos="1170"/>
        </w:tabs>
        <w:spacing w:after="100" w:afterAutospacing="1"/>
        <w:ind w:left="360"/>
        <w:jc w:val="both"/>
        <w:rPr>
          <w:rFonts w:eastAsia="Times New Roman"/>
        </w:rPr>
      </w:pPr>
      <w:r w:rsidRPr="00270873">
        <w:rPr>
          <w:rFonts w:eastAsia="Times New Roman"/>
        </w:rPr>
        <w:t xml:space="preserve">Investment held as current, fair value </w:t>
      </w:r>
      <w:r w:rsidR="00A75BE2" w:rsidRPr="00270873">
        <w:rPr>
          <w:rFonts w:eastAsia="Times New Roman"/>
        </w:rPr>
        <w:t>will be</w:t>
      </w:r>
      <w:r w:rsidRPr="00270873">
        <w:rPr>
          <w:rFonts w:eastAsia="Times New Roman"/>
        </w:rPr>
        <w:t xml:space="preserve"> determined through </w:t>
      </w:r>
      <w:r w:rsidR="00DE0C9E" w:rsidRPr="00270873">
        <w:rPr>
          <w:rFonts w:eastAsia="Times New Roman"/>
        </w:rPr>
        <w:t xml:space="preserve">either of </w:t>
      </w:r>
      <w:r w:rsidR="00270873" w:rsidRPr="00270873">
        <w:rPr>
          <w:rFonts w:eastAsia="Times New Roman"/>
        </w:rPr>
        <w:t>the following</w:t>
      </w:r>
      <w:r w:rsidR="00DE0C9E" w:rsidRPr="00270873">
        <w:rPr>
          <w:rFonts w:eastAsia="Times New Roman"/>
        </w:rPr>
        <w:t xml:space="preserve"> methods. </w:t>
      </w:r>
      <w:r w:rsidRPr="00270873">
        <w:rPr>
          <w:rFonts w:eastAsia="Times New Roman"/>
        </w:rPr>
        <w:t xml:space="preserve"> </w:t>
      </w:r>
    </w:p>
    <w:p w14:paraId="1FA789B3" w14:textId="29EB0B78" w:rsidR="00B64DB9" w:rsidRPr="00270873" w:rsidRDefault="00B64DB9" w:rsidP="00022E58">
      <w:pPr>
        <w:pStyle w:val="ListParagraph"/>
        <w:numPr>
          <w:ilvl w:val="0"/>
          <w:numId w:val="14"/>
        </w:numPr>
        <w:tabs>
          <w:tab w:val="num" w:pos="900"/>
        </w:tabs>
        <w:spacing w:after="100" w:afterAutospacing="1"/>
        <w:ind w:hanging="180"/>
        <w:jc w:val="both"/>
        <w:rPr>
          <w:rFonts w:eastAsia="Times New Roman"/>
        </w:rPr>
      </w:pPr>
      <w:r w:rsidRPr="00270873">
        <w:rPr>
          <w:rFonts w:eastAsia="Times New Roman"/>
        </w:rPr>
        <w:t>Fair Value through Profit and Loss (FVTPL).</w:t>
      </w:r>
    </w:p>
    <w:p w14:paraId="0D5758BF" w14:textId="73FAF07F" w:rsidR="006B0C06" w:rsidRPr="00270873" w:rsidRDefault="006B0C06" w:rsidP="00663811">
      <w:pPr>
        <w:widowControl/>
        <w:numPr>
          <w:ilvl w:val="0"/>
          <w:numId w:val="14"/>
        </w:numPr>
        <w:tabs>
          <w:tab w:val="clear" w:pos="720"/>
          <w:tab w:val="num" w:pos="1170"/>
        </w:tabs>
        <w:autoSpaceDE/>
        <w:autoSpaceDN/>
        <w:spacing w:before="100" w:beforeAutospacing="1" w:after="100" w:afterAutospacing="1"/>
        <w:ind w:left="900"/>
        <w:jc w:val="both"/>
        <w:rPr>
          <w:rFonts w:eastAsia="Times New Roman"/>
        </w:rPr>
      </w:pPr>
      <w:r w:rsidRPr="00270873">
        <w:rPr>
          <w:rFonts w:eastAsia="Times New Roman"/>
        </w:rPr>
        <w:t>Fair Value through Other Comprehensive Income (FVOCI)</w:t>
      </w:r>
    </w:p>
    <w:p w14:paraId="6AF4537A" w14:textId="48BD79BF" w:rsidR="006B0C06" w:rsidRPr="00270873" w:rsidRDefault="00B64DB9" w:rsidP="00663811">
      <w:pPr>
        <w:widowControl/>
        <w:autoSpaceDE/>
        <w:autoSpaceDN/>
        <w:spacing w:before="100" w:beforeAutospacing="1" w:after="100" w:afterAutospacing="1"/>
        <w:ind w:firstLine="360"/>
        <w:jc w:val="both"/>
        <w:rPr>
          <w:rFonts w:eastAsia="Times New Roman"/>
        </w:rPr>
      </w:pPr>
      <w:r w:rsidRPr="00270873">
        <w:rPr>
          <w:rFonts w:eastAsia="Times New Roman"/>
        </w:rPr>
        <w:t>Investments at fair value through FVTPL comprise:</w:t>
      </w:r>
    </w:p>
    <w:p w14:paraId="52218194" w14:textId="1F06B144" w:rsidR="00DC4F9C" w:rsidRPr="00270873" w:rsidRDefault="00B64DB9" w:rsidP="00DC4F9C">
      <w:pPr>
        <w:pStyle w:val="ListParagraph"/>
        <w:widowControl/>
        <w:numPr>
          <w:ilvl w:val="1"/>
          <w:numId w:val="14"/>
        </w:numPr>
        <w:autoSpaceDE/>
        <w:autoSpaceDN/>
        <w:spacing w:before="100" w:beforeAutospacing="1" w:after="100" w:afterAutospacing="1"/>
        <w:ind w:left="900"/>
        <w:jc w:val="both"/>
        <w:rPr>
          <w:rFonts w:eastAsia="Times New Roman"/>
        </w:rPr>
      </w:pPr>
      <w:r w:rsidRPr="00270873">
        <w:rPr>
          <w:rFonts w:eastAsia="Times New Roman"/>
        </w:rPr>
        <w:t>Investments held for trading.</w:t>
      </w:r>
    </w:p>
    <w:p w14:paraId="5A82954F" w14:textId="031EDD6E" w:rsidR="00B64DB9" w:rsidRPr="00270873" w:rsidRDefault="00B64DB9" w:rsidP="008873F4">
      <w:pPr>
        <w:pStyle w:val="ListParagraph"/>
        <w:widowControl/>
        <w:numPr>
          <w:ilvl w:val="1"/>
          <w:numId w:val="14"/>
        </w:numPr>
        <w:autoSpaceDE/>
        <w:autoSpaceDN/>
        <w:spacing w:before="100" w:beforeAutospacing="1" w:after="100" w:afterAutospacing="1"/>
        <w:ind w:left="900"/>
        <w:jc w:val="both"/>
        <w:rPr>
          <w:rFonts w:eastAsia="Times New Roman"/>
        </w:rPr>
      </w:pPr>
      <w:r w:rsidRPr="00270873">
        <w:rPr>
          <w:rFonts w:eastAsia="Times New Roman"/>
        </w:rPr>
        <w:t>Investments specifically designated as fair value through profit and loss account</w:t>
      </w:r>
      <w:r w:rsidR="00177918" w:rsidRPr="00270873">
        <w:rPr>
          <w:rFonts w:eastAsia="Times New Roman"/>
        </w:rPr>
        <w:t>.</w:t>
      </w:r>
    </w:p>
    <w:p w14:paraId="685276A1" w14:textId="77777777" w:rsidR="00342519" w:rsidRPr="00342519" w:rsidRDefault="00342519" w:rsidP="00342519">
      <w:pPr>
        <w:pStyle w:val="ListParagraph"/>
        <w:widowControl/>
        <w:autoSpaceDE/>
        <w:autoSpaceDN/>
        <w:spacing w:before="100" w:beforeAutospacing="1" w:after="100" w:afterAutospacing="1"/>
        <w:ind w:left="900" w:firstLine="0"/>
        <w:jc w:val="both"/>
        <w:rPr>
          <w:rFonts w:eastAsia="Times New Roman"/>
          <w:sz w:val="2"/>
        </w:rPr>
      </w:pPr>
    </w:p>
    <w:p w14:paraId="773DE582" w14:textId="490BE4B9" w:rsidR="00177918" w:rsidRPr="00047570" w:rsidRDefault="00177918" w:rsidP="008873F4">
      <w:pPr>
        <w:pStyle w:val="ListParagraph"/>
        <w:widowControl/>
        <w:numPr>
          <w:ilvl w:val="1"/>
          <w:numId w:val="14"/>
        </w:numPr>
        <w:autoSpaceDE/>
        <w:autoSpaceDN/>
        <w:spacing w:before="100" w:beforeAutospacing="1" w:after="100" w:afterAutospacing="1"/>
        <w:ind w:left="900"/>
        <w:jc w:val="both"/>
        <w:rPr>
          <w:rFonts w:eastAsia="Times New Roman"/>
        </w:rPr>
      </w:pPr>
      <w:r w:rsidRPr="00047570">
        <w:rPr>
          <w:rFonts w:eastAsia="Times New Roman"/>
        </w:rPr>
        <w:t xml:space="preserve">Debt instruments with contractual terms that do not represent solely payment of principal and interest. </w:t>
      </w:r>
    </w:p>
    <w:p w14:paraId="0D446C2D" w14:textId="6C679503" w:rsidR="00177918" w:rsidRPr="00177918" w:rsidRDefault="00177918" w:rsidP="008873F4">
      <w:pPr>
        <w:widowControl/>
        <w:adjustRightInd w:val="0"/>
        <w:ind w:left="360"/>
        <w:jc w:val="both"/>
        <w:rPr>
          <w:rFonts w:eastAsia="Times New Roman"/>
        </w:rPr>
      </w:pPr>
      <w:r w:rsidRPr="00047570">
        <w:rPr>
          <w:rFonts w:eastAsia="Times New Roman"/>
        </w:rPr>
        <w:t>Investments a</w:t>
      </w:r>
      <w:r w:rsidRPr="00047570">
        <w:rPr>
          <w:rFonts w:eastAsiaTheme="minorHAnsi"/>
          <w:lang w:bidi="ar-SA"/>
        </w:rPr>
        <w:t>vailable for sale assets, other than unquoted equity will be fair v</w:t>
      </w:r>
      <w:r w:rsidR="00CF522F" w:rsidRPr="00047570">
        <w:rPr>
          <w:rFonts w:eastAsiaTheme="minorHAnsi"/>
          <w:lang w:bidi="ar-SA"/>
        </w:rPr>
        <w:t>alued following FVOCI.</w:t>
      </w:r>
      <w:r w:rsidRPr="00047570">
        <w:rPr>
          <w:rFonts w:eastAsiaTheme="minorHAnsi"/>
          <w:lang w:bidi="ar-SA"/>
        </w:rPr>
        <w:t xml:space="preserve"> Gain or loss on valuation is kept in “other comprehensive incom</w:t>
      </w:r>
      <w:r w:rsidR="008F1780" w:rsidRPr="00047570">
        <w:rPr>
          <w:rFonts w:eastAsiaTheme="minorHAnsi"/>
          <w:lang w:bidi="ar-SA"/>
        </w:rPr>
        <w:t>e” in the shareholders’ equity.</w:t>
      </w:r>
      <w:r w:rsidRPr="00047570">
        <w:rPr>
          <w:rFonts w:eastAsiaTheme="minorHAnsi"/>
          <w:lang w:bidi="ar-SA"/>
        </w:rPr>
        <w:t xml:space="preserve"> These gains/losses are brought into current profit/loss when the investment in question is sold.</w:t>
      </w:r>
    </w:p>
    <w:p w14:paraId="4E05D1CB" w14:textId="77777777" w:rsidR="006B0C06" w:rsidRDefault="006B0C06" w:rsidP="006B0C06">
      <w:pPr>
        <w:pStyle w:val="BodyText"/>
        <w:tabs>
          <w:tab w:val="left" w:pos="8100"/>
        </w:tabs>
        <w:spacing w:line="244" w:lineRule="auto"/>
        <w:ind w:right="10"/>
        <w:jc w:val="both"/>
      </w:pPr>
    </w:p>
    <w:p w14:paraId="6C8813BE" w14:textId="77777777" w:rsidR="00A06574" w:rsidRPr="000E5B3C" w:rsidRDefault="00A06574" w:rsidP="00A06574">
      <w:pPr>
        <w:pStyle w:val="Heading1"/>
        <w:numPr>
          <w:ilvl w:val="1"/>
          <w:numId w:val="5"/>
        </w:numPr>
        <w:tabs>
          <w:tab w:val="left" w:pos="589"/>
          <w:tab w:val="left" w:pos="8100"/>
        </w:tabs>
        <w:spacing w:before="1"/>
        <w:ind w:right="10" w:hanging="481"/>
        <w:jc w:val="left"/>
        <w:rPr>
          <w:sz w:val="22"/>
          <w:szCs w:val="22"/>
        </w:rPr>
      </w:pPr>
      <w:bookmarkStart w:id="8" w:name="_TOC_250007"/>
      <w:r w:rsidRPr="000E5B3C">
        <w:rPr>
          <w:sz w:val="22"/>
          <w:szCs w:val="22"/>
        </w:rPr>
        <w:t>Income</w:t>
      </w:r>
      <w:r w:rsidRPr="000E5B3C">
        <w:rPr>
          <w:spacing w:val="-2"/>
          <w:sz w:val="22"/>
          <w:szCs w:val="22"/>
        </w:rPr>
        <w:t xml:space="preserve"> </w:t>
      </w:r>
      <w:bookmarkEnd w:id="8"/>
      <w:r w:rsidRPr="000E5B3C">
        <w:rPr>
          <w:sz w:val="22"/>
          <w:szCs w:val="22"/>
        </w:rPr>
        <w:t>recognition</w:t>
      </w:r>
    </w:p>
    <w:p w14:paraId="3B6A4B79" w14:textId="77777777" w:rsidR="00A06574" w:rsidRDefault="00A06574" w:rsidP="00A06574">
      <w:pPr>
        <w:pStyle w:val="BodyText"/>
        <w:tabs>
          <w:tab w:val="left" w:pos="8100"/>
        </w:tabs>
        <w:spacing w:before="3"/>
        <w:ind w:right="10"/>
        <w:rPr>
          <w:b/>
          <w:sz w:val="23"/>
        </w:rPr>
      </w:pPr>
    </w:p>
    <w:p w14:paraId="77DE26B6" w14:textId="77777777" w:rsidR="00A06574" w:rsidRDefault="00A06574" w:rsidP="00A06574">
      <w:pPr>
        <w:pStyle w:val="ListParagraph"/>
        <w:numPr>
          <w:ilvl w:val="2"/>
          <w:numId w:val="5"/>
        </w:numPr>
        <w:tabs>
          <w:tab w:val="left" w:pos="704"/>
          <w:tab w:val="left" w:pos="8100"/>
        </w:tabs>
        <w:spacing w:line="244" w:lineRule="auto"/>
        <w:ind w:right="10"/>
        <w:jc w:val="both"/>
      </w:pPr>
      <w:r>
        <w:t>Income from dividend on shares of corporate bodies and units of mutual funds shall be taken into account on cash</w:t>
      </w:r>
      <w:r>
        <w:rPr>
          <w:spacing w:val="18"/>
        </w:rPr>
        <w:t xml:space="preserve"> </w:t>
      </w:r>
      <w:r>
        <w:t>basis:</w:t>
      </w:r>
    </w:p>
    <w:p w14:paraId="20801871" w14:textId="77777777" w:rsidR="00A06574" w:rsidRDefault="00A06574" w:rsidP="00A06574">
      <w:pPr>
        <w:pStyle w:val="BodyText"/>
        <w:tabs>
          <w:tab w:val="left" w:pos="8100"/>
        </w:tabs>
        <w:ind w:right="10"/>
        <w:rPr>
          <w:sz w:val="23"/>
        </w:rPr>
      </w:pPr>
    </w:p>
    <w:p w14:paraId="6D36787F" w14:textId="77777777" w:rsidR="00A06574" w:rsidRDefault="00A06574" w:rsidP="008B7AB3">
      <w:pPr>
        <w:pStyle w:val="BodyText"/>
        <w:tabs>
          <w:tab w:val="left" w:pos="8100"/>
        </w:tabs>
        <w:spacing w:line="244" w:lineRule="auto"/>
        <w:ind w:left="704" w:right="10"/>
        <w:jc w:val="both"/>
      </w:pPr>
      <w:r>
        <w:t>Provided that the income from dividend on shares of corporate bodies may be taken into account on accrual basis when such dividend has been declared by the corporate body in its annual general meeting and the NBFC’s right to receive payment is established.</w:t>
      </w:r>
    </w:p>
    <w:p w14:paraId="5DB98AFC" w14:textId="77777777" w:rsidR="00A06574" w:rsidRDefault="00A06574" w:rsidP="00A06574">
      <w:pPr>
        <w:pStyle w:val="BodyText"/>
        <w:tabs>
          <w:tab w:val="left" w:pos="8100"/>
        </w:tabs>
        <w:spacing w:before="1"/>
        <w:ind w:right="10"/>
        <w:rPr>
          <w:sz w:val="23"/>
        </w:rPr>
      </w:pPr>
    </w:p>
    <w:p w14:paraId="3215C049" w14:textId="77777777" w:rsidR="00A06574" w:rsidRDefault="00A06574" w:rsidP="00A06574">
      <w:pPr>
        <w:pStyle w:val="ListParagraph"/>
        <w:numPr>
          <w:ilvl w:val="2"/>
          <w:numId w:val="5"/>
        </w:numPr>
        <w:tabs>
          <w:tab w:val="left" w:pos="704"/>
          <w:tab w:val="left" w:pos="8100"/>
        </w:tabs>
        <w:spacing w:before="1" w:line="244" w:lineRule="auto"/>
        <w:ind w:right="10"/>
        <w:jc w:val="both"/>
      </w:pPr>
      <w:r>
        <w:t>Income from bonds and debentures of corporate bodies and from Government securities/bonds may be taken into account on accrual</w:t>
      </w:r>
      <w:r>
        <w:rPr>
          <w:spacing w:val="32"/>
        </w:rPr>
        <w:t xml:space="preserve"> </w:t>
      </w:r>
      <w:r>
        <w:t>basis:</w:t>
      </w:r>
    </w:p>
    <w:p w14:paraId="077E8917" w14:textId="77777777" w:rsidR="00A06574" w:rsidRDefault="00A06574" w:rsidP="00A06574">
      <w:pPr>
        <w:pStyle w:val="BodyText"/>
        <w:tabs>
          <w:tab w:val="left" w:pos="8100"/>
        </w:tabs>
        <w:spacing w:before="8"/>
        <w:ind w:right="10"/>
      </w:pPr>
    </w:p>
    <w:p w14:paraId="1C5DDF4B" w14:textId="77777777" w:rsidR="00A06574" w:rsidRDefault="00A06574" w:rsidP="00A06574">
      <w:pPr>
        <w:pStyle w:val="BodyText"/>
        <w:tabs>
          <w:tab w:val="left" w:pos="8100"/>
        </w:tabs>
        <w:spacing w:line="244" w:lineRule="auto"/>
        <w:ind w:left="704" w:right="10" w:hanging="3"/>
        <w:jc w:val="both"/>
      </w:pPr>
      <w:r>
        <w:t>Provided that the interest rate on these instruments is pre-determined and interest is serviced regularly and is not in arrears.</w:t>
      </w:r>
    </w:p>
    <w:p w14:paraId="584C12F7" w14:textId="77777777" w:rsidR="00A06574" w:rsidRDefault="00A06574" w:rsidP="00A06574">
      <w:pPr>
        <w:pStyle w:val="BodyText"/>
        <w:tabs>
          <w:tab w:val="left" w:pos="8100"/>
        </w:tabs>
        <w:spacing w:before="11"/>
        <w:ind w:right="10"/>
      </w:pPr>
    </w:p>
    <w:p w14:paraId="79807BF2" w14:textId="2919D20C" w:rsidR="00A06574" w:rsidRDefault="00A06574" w:rsidP="00A06574">
      <w:pPr>
        <w:pStyle w:val="ListParagraph"/>
        <w:numPr>
          <w:ilvl w:val="2"/>
          <w:numId w:val="5"/>
        </w:numPr>
        <w:tabs>
          <w:tab w:val="left" w:pos="704"/>
          <w:tab w:val="left" w:pos="8100"/>
        </w:tabs>
        <w:spacing w:line="244" w:lineRule="auto"/>
        <w:ind w:right="10"/>
        <w:jc w:val="both"/>
      </w:pPr>
      <w:r>
        <w:t xml:space="preserve">Income on securities of corporate bodies or public sector undertakings, the payment of interest and </w:t>
      </w:r>
      <w:r w:rsidR="00ED72A7">
        <w:t>repayment of principal of</w:t>
      </w:r>
      <w:r>
        <w:t xml:space="preserve"> which have been guaranteed by Central Government or a State Government may be taken into account on accrual</w:t>
      </w:r>
      <w:r>
        <w:rPr>
          <w:spacing w:val="1"/>
        </w:rPr>
        <w:t xml:space="preserve"> </w:t>
      </w:r>
      <w:r>
        <w:t>basis.</w:t>
      </w:r>
    </w:p>
    <w:p w14:paraId="511FFA89" w14:textId="77777777" w:rsidR="00A06574" w:rsidRDefault="00A06574" w:rsidP="00A06574">
      <w:pPr>
        <w:pStyle w:val="BodyText"/>
        <w:tabs>
          <w:tab w:val="left" w:pos="8100"/>
        </w:tabs>
        <w:spacing w:before="5"/>
        <w:ind w:right="10"/>
        <w:rPr>
          <w:sz w:val="28"/>
        </w:rPr>
      </w:pPr>
      <w:r>
        <w:rPr>
          <w:noProof/>
          <w:lang w:val="en-IN" w:eastAsia="en-IN" w:bidi="ar-SA"/>
        </w:rPr>
        <w:drawing>
          <wp:anchor distT="0" distB="0" distL="0" distR="0" simplePos="0" relativeHeight="251665408" behindDoc="0" locked="0" layoutInCell="1" allowOverlap="1" wp14:anchorId="6B722F77" wp14:editId="1693DA33">
            <wp:simplePos x="0" y="0"/>
            <wp:positionH relativeFrom="page">
              <wp:posOffset>1095755</wp:posOffset>
            </wp:positionH>
            <wp:positionV relativeFrom="page">
              <wp:posOffset>303276</wp:posOffset>
            </wp:positionV>
            <wp:extent cx="1100327" cy="339851"/>
            <wp:effectExtent l="0" t="0" r="0" b="0"/>
            <wp:wrapNone/>
            <wp:docPr id="1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jpeg"/>
                    <pic:cNvPicPr/>
                  </pic:nvPicPr>
                  <pic:blipFill>
                    <a:blip r:embed="rId7" cstate="print"/>
                    <a:stretch>
                      <a:fillRect/>
                    </a:stretch>
                  </pic:blipFill>
                  <pic:spPr>
                    <a:xfrm>
                      <a:off x="0" y="0"/>
                      <a:ext cx="1100327" cy="339851"/>
                    </a:xfrm>
                    <a:prstGeom prst="rect">
                      <a:avLst/>
                    </a:prstGeom>
                  </pic:spPr>
                </pic:pic>
              </a:graphicData>
            </a:graphic>
          </wp:anchor>
        </w:drawing>
      </w:r>
    </w:p>
    <w:p w14:paraId="52DB2AEB" w14:textId="77777777" w:rsidR="00A06574" w:rsidRDefault="00A06574" w:rsidP="00DC4F9C">
      <w:pPr>
        <w:pStyle w:val="Heading2"/>
        <w:numPr>
          <w:ilvl w:val="1"/>
          <w:numId w:val="5"/>
        </w:numPr>
        <w:tabs>
          <w:tab w:val="left" w:pos="630"/>
          <w:tab w:val="left" w:pos="8100"/>
        </w:tabs>
        <w:spacing w:before="98"/>
        <w:ind w:left="540" w:right="10" w:hanging="450"/>
        <w:jc w:val="left"/>
      </w:pPr>
      <w:bookmarkStart w:id="9" w:name="_TOC_250006"/>
      <w:r>
        <w:t>Risk weight for capital</w:t>
      </w:r>
      <w:r>
        <w:rPr>
          <w:spacing w:val="8"/>
        </w:rPr>
        <w:t xml:space="preserve"> </w:t>
      </w:r>
      <w:bookmarkEnd w:id="9"/>
      <w:r>
        <w:t>adequacy</w:t>
      </w:r>
    </w:p>
    <w:p w14:paraId="3D0A4859" w14:textId="77777777" w:rsidR="00A06574" w:rsidRDefault="00A06574" w:rsidP="00A06574">
      <w:pPr>
        <w:pStyle w:val="BodyText"/>
        <w:tabs>
          <w:tab w:val="left" w:pos="8100"/>
        </w:tabs>
        <w:spacing w:before="10"/>
        <w:ind w:right="10"/>
        <w:rPr>
          <w:b/>
          <w:sz w:val="23"/>
        </w:rPr>
      </w:pPr>
    </w:p>
    <w:p w14:paraId="4E86430A" w14:textId="77777777" w:rsidR="00A06574" w:rsidRDefault="00A06574" w:rsidP="00A06574">
      <w:pPr>
        <w:pStyle w:val="BodyText"/>
        <w:tabs>
          <w:tab w:val="left" w:pos="8100"/>
        </w:tabs>
        <w:spacing w:line="244" w:lineRule="auto"/>
        <w:ind w:left="279" w:right="10"/>
        <w:jc w:val="both"/>
      </w:pPr>
      <w:r>
        <w:t>Investments, including term deposits with banks will attract the following risk weights for computation of the capital adequacy.</w:t>
      </w:r>
    </w:p>
    <w:p w14:paraId="0FC6C621" w14:textId="77777777" w:rsidR="00A06574" w:rsidRDefault="00A06574" w:rsidP="00A06574">
      <w:pPr>
        <w:pStyle w:val="BodyText"/>
        <w:spacing w:before="6"/>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77"/>
        <w:gridCol w:w="6501"/>
        <w:gridCol w:w="1580"/>
      </w:tblGrid>
      <w:tr w:rsidR="00A06574" w14:paraId="489898DB" w14:textId="77777777" w:rsidTr="001C3B6B">
        <w:trPr>
          <w:trHeight w:val="542"/>
        </w:trPr>
        <w:tc>
          <w:tcPr>
            <w:tcW w:w="877" w:type="dxa"/>
            <w:vAlign w:val="center"/>
          </w:tcPr>
          <w:p w14:paraId="57AB9E41" w14:textId="77777777" w:rsidR="00A06574" w:rsidRDefault="00A06574" w:rsidP="00925CF7">
            <w:pPr>
              <w:pStyle w:val="TableParagraph"/>
              <w:spacing w:before="134"/>
              <w:ind w:left="119" w:right="113"/>
              <w:jc w:val="center"/>
              <w:rPr>
                <w:b/>
              </w:rPr>
            </w:pPr>
            <w:r>
              <w:rPr>
                <w:b/>
              </w:rPr>
              <w:t>Sl No</w:t>
            </w:r>
          </w:p>
        </w:tc>
        <w:tc>
          <w:tcPr>
            <w:tcW w:w="6501" w:type="dxa"/>
            <w:vAlign w:val="center"/>
          </w:tcPr>
          <w:p w14:paraId="6DE2FB47" w14:textId="77777777" w:rsidR="00A06574" w:rsidRDefault="00A06574" w:rsidP="00925CF7">
            <w:pPr>
              <w:pStyle w:val="TableParagraph"/>
              <w:spacing w:before="134"/>
              <w:ind w:left="2501" w:right="2500"/>
              <w:jc w:val="center"/>
              <w:rPr>
                <w:b/>
              </w:rPr>
            </w:pPr>
            <w:r>
              <w:rPr>
                <w:b/>
              </w:rPr>
              <w:t>Description</w:t>
            </w:r>
          </w:p>
        </w:tc>
        <w:tc>
          <w:tcPr>
            <w:tcW w:w="1580" w:type="dxa"/>
            <w:vAlign w:val="center"/>
          </w:tcPr>
          <w:p w14:paraId="37CEC090" w14:textId="77777777" w:rsidR="00A06574" w:rsidRDefault="00A06574" w:rsidP="00925CF7">
            <w:pPr>
              <w:pStyle w:val="TableParagraph"/>
              <w:spacing w:before="2"/>
              <w:ind w:left="127" w:right="121"/>
              <w:jc w:val="center"/>
              <w:rPr>
                <w:b/>
              </w:rPr>
            </w:pPr>
            <w:r>
              <w:rPr>
                <w:b/>
              </w:rPr>
              <w:t>Risk weight</w:t>
            </w:r>
          </w:p>
          <w:p w14:paraId="11BE3233" w14:textId="77777777" w:rsidR="00A06574" w:rsidRDefault="00A06574" w:rsidP="00925CF7">
            <w:pPr>
              <w:pStyle w:val="TableParagraph"/>
              <w:spacing w:before="9" w:line="234" w:lineRule="exact"/>
              <w:ind w:left="123" w:right="121"/>
              <w:jc w:val="center"/>
              <w:rPr>
                <w:b/>
              </w:rPr>
            </w:pPr>
            <w:r>
              <w:rPr>
                <w:b/>
              </w:rPr>
              <w:t>(%)</w:t>
            </w:r>
          </w:p>
        </w:tc>
      </w:tr>
      <w:tr w:rsidR="00A06574" w14:paraId="7F65700E" w14:textId="77777777" w:rsidTr="001C3B6B">
        <w:trPr>
          <w:trHeight w:val="354"/>
        </w:trPr>
        <w:tc>
          <w:tcPr>
            <w:tcW w:w="877" w:type="dxa"/>
            <w:vAlign w:val="center"/>
          </w:tcPr>
          <w:p w14:paraId="212CEA98" w14:textId="77777777" w:rsidR="00A06574" w:rsidRDefault="00A06574" w:rsidP="00925CF7">
            <w:pPr>
              <w:pStyle w:val="TableParagraph"/>
              <w:spacing w:before="4" w:line="237" w:lineRule="exact"/>
              <w:ind w:left="5"/>
              <w:jc w:val="center"/>
            </w:pPr>
            <w:r>
              <w:rPr>
                <w:w w:val="102"/>
              </w:rPr>
              <w:t>1</w:t>
            </w:r>
          </w:p>
        </w:tc>
        <w:tc>
          <w:tcPr>
            <w:tcW w:w="6501" w:type="dxa"/>
            <w:vAlign w:val="center"/>
          </w:tcPr>
          <w:p w14:paraId="5330854F" w14:textId="77777777" w:rsidR="00A06574" w:rsidRDefault="00A06574" w:rsidP="00925CF7">
            <w:pPr>
              <w:pStyle w:val="TableParagraph"/>
              <w:spacing w:before="4" w:line="237" w:lineRule="exact"/>
              <w:ind w:left="101"/>
            </w:pPr>
            <w:r>
              <w:t>Term deposits with banks</w:t>
            </w:r>
          </w:p>
        </w:tc>
        <w:tc>
          <w:tcPr>
            <w:tcW w:w="1580" w:type="dxa"/>
            <w:vAlign w:val="center"/>
          </w:tcPr>
          <w:p w14:paraId="07771B78" w14:textId="77777777" w:rsidR="00A06574" w:rsidRDefault="00A06574" w:rsidP="00925CF7">
            <w:pPr>
              <w:pStyle w:val="TableParagraph"/>
              <w:spacing w:before="4" w:line="237" w:lineRule="exact"/>
              <w:jc w:val="center"/>
            </w:pPr>
            <w:r>
              <w:rPr>
                <w:w w:val="102"/>
              </w:rPr>
              <w:t>0</w:t>
            </w:r>
          </w:p>
        </w:tc>
      </w:tr>
      <w:tr w:rsidR="00A06574" w14:paraId="09F57128" w14:textId="77777777" w:rsidTr="001C3B6B">
        <w:trPr>
          <w:trHeight w:val="354"/>
        </w:trPr>
        <w:tc>
          <w:tcPr>
            <w:tcW w:w="877" w:type="dxa"/>
            <w:vAlign w:val="center"/>
          </w:tcPr>
          <w:p w14:paraId="7188C264" w14:textId="77777777" w:rsidR="00A06574" w:rsidRDefault="00A06574" w:rsidP="00925CF7">
            <w:pPr>
              <w:pStyle w:val="TableParagraph"/>
              <w:spacing w:before="2" w:line="237" w:lineRule="exact"/>
              <w:ind w:left="5"/>
              <w:jc w:val="center"/>
            </w:pPr>
            <w:r>
              <w:rPr>
                <w:w w:val="102"/>
              </w:rPr>
              <w:t>2</w:t>
            </w:r>
          </w:p>
        </w:tc>
        <w:tc>
          <w:tcPr>
            <w:tcW w:w="6501" w:type="dxa"/>
            <w:vAlign w:val="center"/>
          </w:tcPr>
          <w:p w14:paraId="26967988" w14:textId="77777777" w:rsidR="00A06574" w:rsidRDefault="00A06574" w:rsidP="00925CF7">
            <w:pPr>
              <w:pStyle w:val="TableParagraph"/>
              <w:spacing w:before="2" w:line="237" w:lineRule="exact"/>
              <w:ind w:left="101"/>
            </w:pPr>
            <w:r>
              <w:t>Approved securities (except at 3 below)</w:t>
            </w:r>
          </w:p>
        </w:tc>
        <w:tc>
          <w:tcPr>
            <w:tcW w:w="1580" w:type="dxa"/>
            <w:vAlign w:val="center"/>
          </w:tcPr>
          <w:p w14:paraId="75C10BFA" w14:textId="77777777" w:rsidR="00A06574" w:rsidRDefault="00A06574" w:rsidP="00925CF7">
            <w:pPr>
              <w:pStyle w:val="TableParagraph"/>
              <w:spacing w:before="2" w:line="237" w:lineRule="exact"/>
              <w:jc w:val="center"/>
            </w:pPr>
            <w:r>
              <w:rPr>
                <w:w w:val="102"/>
              </w:rPr>
              <w:t>0</w:t>
            </w:r>
          </w:p>
        </w:tc>
      </w:tr>
      <w:tr w:rsidR="00A06574" w14:paraId="2FB80505" w14:textId="77777777" w:rsidTr="001C3B6B">
        <w:trPr>
          <w:trHeight w:val="542"/>
        </w:trPr>
        <w:tc>
          <w:tcPr>
            <w:tcW w:w="877" w:type="dxa"/>
            <w:vAlign w:val="center"/>
          </w:tcPr>
          <w:p w14:paraId="2802BE69" w14:textId="77777777" w:rsidR="00A06574" w:rsidRDefault="00A06574" w:rsidP="00AA0DA7">
            <w:pPr>
              <w:pStyle w:val="TableParagraph"/>
              <w:ind w:left="5"/>
              <w:jc w:val="center"/>
            </w:pPr>
            <w:r>
              <w:rPr>
                <w:w w:val="102"/>
              </w:rPr>
              <w:t>3</w:t>
            </w:r>
          </w:p>
        </w:tc>
        <w:tc>
          <w:tcPr>
            <w:tcW w:w="6501" w:type="dxa"/>
            <w:vAlign w:val="center"/>
          </w:tcPr>
          <w:p w14:paraId="0C4F8270" w14:textId="77777777" w:rsidR="00A06574" w:rsidRDefault="00A06574" w:rsidP="00AA0DA7">
            <w:pPr>
              <w:pStyle w:val="TableParagraph"/>
              <w:spacing w:line="260" w:lineRule="exact"/>
              <w:ind w:left="102" w:right="55"/>
            </w:pPr>
            <w:r>
              <w:t>Term deposits / certificate of deposits / bonds of public financial institutions</w:t>
            </w:r>
          </w:p>
        </w:tc>
        <w:tc>
          <w:tcPr>
            <w:tcW w:w="1580" w:type="dxa"/>
            <w:vAlign w:val="center"/>
          </w:tcPr>
          <w:p w14:paraId="614BB051" w14:textId="77777777" w:rsidR="00A06574" w:rsidRDefault="00A06574" w:rsidP="00AA0DA7">
            <w:pPr>
              <w:pStyle w:val="TableParagraph"/>
              <w:ind w:left="127" w:right="119"/>
              <w:jc w:val="center"/>
            </w:pPr>
            <w:r>
              <w:t>100</w:t>
            </w:r>
          </w:p>
        </w:tc>
      </w:tr>
      <w:tr w:rsidR="00A06574" w14:paraId="4BBC462B" w14:textId="77777777" w:rsidTr="001C3B6B">
        <w:trPr>
          <w:trHeight w:val="540"/>
        </w:trPr>
        <w:tc>
          <w:tcPr>
            <w:tcW w:w="877" w:type="dxa"/>
            <w:vAlign w:val="center"/>
          </w:tcPr>
          <w:p w14:paraId="41A55261" w14:textId="77777777" w:rsidR="00A06574" w:rsidRDefault="00A06574" w:rsidP="00AA0DA7">
            <w:pPr>
              <w:pStyle w:val="TableParagraph"/>
              <w:ind w:left="5"/>
              <w:jc w:val="center"/>
            </w:pPr>
            <w:r>
              <w:rPr>
                <w:w w:val="102"/>
              </w:rPr>
              <w:t>4</w:t>
            </w:r>
          </w:p>
        </w:tc>
        <w:tc>
          <w:tcPr>
            <w:tcW w:w="6501" w:type="dxa"/>
            <w:vAlign w:val="center"/>
          </w:tcPr>
          <w:p w14:paraId="7E562A9A" w14:textId="77777777" w:rsidR="00A06574" w:rsidRDefault="00A06574" w:rsidP="00AA0DA7">
            <w:pPr>
              <w:pStyle w:val="TableParagraph"/>
              <w:ind w:left="102"/>
            </w:pPr>
            <w:r>
              <w:t>Shares of all companies and debentures / bonds / commercial</w:t>
            </w:r>
          </w:p>
          <w:p w14:paraId="4AAD4E34" w14:textId="77777777" w:rsidR="00A06574" w:rsidRDefault="00A06574" w:rsidP="00AA0DA7">
            <w:pPr>
              <w:pStyle w:val="TableParagraph"/>
              <w:spacing w:line="237" w:lineRule="exact"/>
              <w:ind w:left="102"/>
            </w:pPr>
            <w:r>
              <w:t>papers of all companies and units of mutual funds.</w:t>
            </w:r>
          </w:p>
        </w:tc>
        <w:tc>
          <w:tcPr>
            <w:tcW w:w="1580" w:type="dxa"/>
            <w:vAlign w:val="center"/>
          </w:tcPr>
          <w:p w14:paraId="759E0F42" w14:textId="77777777" w:rsidR="00A06574" w:rsidRDefault="00A06574" w:rsidP="00AA0DA7">
            <w:pPr>
              <w:pStyle w:val="TableParagraph"/>
              <w:ind w:left="127" w:right="119"/>
              <w:jc w:val="center"/>
            </w:pPr>
            <w:r>
              <w:t>100</w:t>
            </w:r>
          </w:p>
        </w:tc>
      </w:tr>
    </w:tbl>
    <w:p w14:paraId="10DCCEBE" w14:textId="77777777" w:rsidR="00A06574" w:rsidRDefault="00A06574" w:rsidP="00A06574">
      <w:pPr>
        <w:pStyle w:val="BodyText"/>
        <w:rPr>
          <w:sz w:val="24"/>
        </w:rPr>
      </w:pPr>
    </w:p>
    <w:p w14:paraId="01F410D1" w14:textId="5E40EC0C" w:rsidR="00A06574" w:rsidRDefault="00A06574" w:rsidP="00A06574">
      <w:pPr>
        <w:pStyle w:val="BodyText"/>
        <w:spacing w:before="2"/>
        <w:rPr>
          <w:sz w:val="20"/>
        </w:rPr>
      </w:pPr>
    </w:p>
    <w:p w14:paraId="7BAC8363" w14:textId="743EFBDA" w:rsidR="007471DF" w:rsidRDefault="007471DF" w:rsidP="00A06574">
      <w:pPr>
        <w:pStyle w:val="BodyText"/>
        <w:spacing w:before="2"/>
        <w:rPr>
          <w:sz w:val="20"/>
        </w:rPr>
      </w:pPr>
    </w:p>
    <w:p w14:paraId="2F50C3C5" w14:textId="57E66E4A" w:rsidR="007471DF" w:rsidRDefault="007471DF" w:rsidP="00A06574">
      <w:pPr>
        <w:pStyle w:val="BodyText"/>
        <w:spacing w:before="2"/>
        <w:rPr>
          <w:sz w:val="20"/>
        </w:rPr>
      </w:pPr>
    </w:p>
    <w:p w14:paraId="3E21F509" w14:textId="77777777" w:rsidR="00A00340" w:rsidRDefault="00A00340" w:rsidP="00A06574">
      <w:pPr>
        <w:pStyle w:val="BodyText"/>
        <w:spacing w:before="2"/>
        <w:rPr>
          <w:sz w:val="20"/>
        </w:rPr>
      </w:pPr>
    </w:p>
    <w:p w14:paraId="09E84C3A" w14:textId="726697B0" w:rsidR="007471DF" w:rsidRDefault="007471DF" w:rsidP="00A06574">
      <w:pPr>
        <w:pStyle w:val="BodyText"/>
        <w:spacing w:before="2"/>
        <w:rPr>
          <w:sz w:val="20"/>
        </w:rPr>
      </w:pPr>
    </w:p>
    <w:p w14:paraId="0B35C179" w14:textId="77777777" w:rsidR="00A06574" w:rsidRDefault="00A06574" w:rsidP="00A06574">
      <w:pPr>
        <w:pStyle w:val="Heading2"/>
        <w:numPr>
          <w:ilvl w:val="0"/>
          <w:numId w:val="9"/>
        </w:numPr>
        <w:tabs>
          <w:tab w:val="left" w:pos="424"/>
        </w:tabs>
        <w:spacing w:before="1"/>
        <w:ind w:left="423" w:hanging="316"/>
        <w:jc w:val="left"/>
      </w:pPr>
      <w:r>
        <w:t>Guiding principles for</w:t>
      </w:r>
      <w:r>
        <w:rPr>
          <w:spacing w:val="13"/>
        </w:rPr>
        <w:t xml:space="preserve"> </w:t>
      </w:r>
      <w:r>
        <w:t>investment</w:t>
      </w:r>
    </w:p>
    <w:p w14:paraId="284C047F" w14:textId="77777777" w:rsidR="00A06574" w:rsidRDefault="00A06574" w:rsidP="00A06574">
      <w:pPr>
        <w:pStyle w:val="BodyText"/>
        <w:spacing w:before="9"/>
        <w:rPr>
          <w:b/>
          <w:sz w:val="31"/>
        </w:rPr>
      </w:pPr>
    </w:p>
    <w:p w14:paraId="075535D3" w14:textId="75482D2D" w:rsidR="00A06574" w:rsidRDefault="00A06574" w:rsidP="00ED72A7">
      <w:pPr>
        <w:pStyle w:val="ListParagraph"/>
        <w:numPr>
          <w:ilvl w:val="1"/>
          <w:numId w:val="4"/>
        </w:numPr>
        <w:tabs>
          <w:tab w:val="left" w:pos="852"/>
        </w:tabs>
        <w:spacing w:line="283" w:lineRule="auto"/>
        <w:ind w:right="10" w:hanging="485"/>
        <w:jc w:val="both"/>
      </w:pPr>
      <w:r>
        <w:rPr>
          <w:b/>
        </w:rPr>
        <w:t xml:space="preserve">Safety: </w:t>
      </w:r>
      <w:r>
        <w:t xml:space="preserve">Safety of principal is the foremost objective of the investment program. Investments will be undertaken in a manner that seeks to ensure preservation </w:t>
      </w:r>
      <w:r>
        <w:rPr>
          <w:spacing w:val="-3"/>
        </w:rPr>
        <w:t xml:space="preserve">of </w:t>
      </w:r>
      <w:r>
        <w:t>capital in the overall portfolio. The idea of safety is to mitigate credit risk, interest rate</w:t>
      </w:r>
      <w:r>
        <w:rPr>
          <w:spacing w:val="-1"/>
        </w:rPr>
        <w:t xml:space="preserve"> </w:t>
      </w:r>
      <w:r>
        <w:t>risk.</w:t>
      </w:r>
    </w:p>
    <w:p w14:paraId="6CFA1B25" w14:textId="51F047C3" w:rsidR="00FE057B" w:rsidRPr="00306413" w:rsidRDefault="00FE057B" w:rsidP="00FE057B">
      <w:pPr>
        <w:pStyle w:val="ListParagraph"/>
        <w:tabs>
          <w:tab w:val="left" w:pos="852"/>
        </w:tabs>
        <w:spacing w:line="283" w:lineRule="auto"/>
        <w:ind w:left="850" w:right="10" w:firstLine="0"/>
        <w:rPr>
          <w:b/>
          <w:sz w:val="14"/>
        </w:rPr>
      </w:pPr>
    </w:p>
    <w:p w14:paraId="09FDDE48" w14:textId="46057EC2" w:rsidR="00FE057B" w:rsidRPr="00FE057B" w:rsidRDefault="00FE057B" w:rsidP="00FE057B">
      <w:pPr>
        <w:pStyle w:val="ListParagraph"/>
        <w:tabs>
          <w:tab w:val="left" w:pos="852"/>
        </w:tabs>
        <w:spacing w:line="283" w:lineRule="auto"/>
        <w:ind w:left="850" w:right="10" w:firstLine="0"/>
        <w:jc w:val="both"/>
        <w:rPr>
          <w:bCs/>
        </w:rPr>
      </w:pPr>
      <w:r w:rsidRPr="00AF3B33">
        <w:rPr>
          <w:bCs/>
        </w:rPr>
        <w:t>As the structured / synthetic products like Market Linked Debentures (MLD) consists of significant risks like changes in the value of underlying security and unpredictable return on investments, MAFIL will not investments in such instruments.</w:t>
      </w:r>
      <w:r w:rsidRPr="00FE057B">
        <w:rPr>
          <w:bCs/>
        </w:rPr>
        <w:t xml:space="preserve"> </w:t>
      </w:r>
    </w:p>
    <w:p w14:paraId="58B1BF04" w14:textId="35F9E13C" w:rsidR="00FE057B" w:rsidRDefault="00FE057B" w:rsidP="00FE057B">
      <w:pPr>
        <w:pStyle w:val="ListParagraph"/>
        <w:tabs>
          <w:tab w:val="left" w:pos="852"/>
        </w:tabs>
        <w:spacing w:line="283" w:lineRule="auto"/>
        <w:ind w:left="850" w:right="10" w:firstLine="0"/>
        <w:rPr>
          <w:b/>
        </w:rPr>
      </w:pPr>
    </w:p>
    <w:p w14:paraId="6AFEA4FF" w14:textId="77777777" w:rsidR="00A06574" w:rsidRDefault="00A06574" w:rsidP="00ED72A7">
      <w:pPr>
        <w:pStyle w:val="ListParagraph"/>
        <w:numPr>
          <w:ilvl w:val="1"/>
          <w:numId w:val="4"/>
        </w:numPr>
        <w:tabs>
          <w:tab w:val="left" w:pos="822"/>
        </w:tabs>
        <w:spacing w:before="1" w:line="285" w:lineRule="auto"/>
        <w:ind w:right="10" w:hanging="485"/>
        <w:jc w:val="both"/>
      </w:pPr>
      <w:r>
        <w:rPr>
          <w:b/>
        </w:rPr>
        <w:t xml:space="preserve">Credit Risk: </w:t>
      </w:r>
      <w:r>
        <w:t>MAFIL will minimize credit risk, the risk of loss due to the failure of the security issuer or banker,</w:t>
      </w:r>
      <w:r>
        <w:rPr>
          <w:spacing w:val="11"/>
        </w:rPr>
        <w:t xml:space="preserve"> </w:t>
      </w:r>
      <w:r>
        <w:t>by:</w:t>
      </w:r>
    </w:p>
    <w:p w14:paraId="460CBBD1" w14:textId="77777777" w:rsidR="00A06574" w:rsidRDefault="00A06574" w:rsidP="00ED72A7">
      <w:pPr>
        <w:pStyle w:val="ListParagraph"/>
        <w:numPr>
          <w:ilvl w:val="2"/>
          <w:numId w:val="4"/>
        </w:numPr>
        <w:tabs>
          <w:tab w:val="left" w:pos="1190"/>
        </w:tabs>
        <w:spacing w:before="178" w:line="247" w:lineRule="auto"/>
        <w:ind w:right="10" w:hanging="317"/>
        <w:jc w:val="both"/>
      </w:pPr>
      <w:r>
        <w:t>Pre-qualifying the financial institutions, brokers/dealers, intermediaries, and advisors with which MAFIL will do</w:t>
      </w:r>
      <w:r>
        <w:rPr>
          <w:spacing w:val="36"/>
        </w:rPr>
        <w:t xml:space="preserve"> </w:t>
      </w:r>
      <w:r>
        <w:t>business.</w:t>
      </w:r>
    </w:p>
    <w:p w14:paraId="718E15D1" w14:textId="77777777" w:rsidR="00A06574" w:rsidRDefault="00A06574" w:rsidP="00ED72A7">
      <w:pPr>
        <w:pStyle w:val="ListParagraph"/>
        <w:numPr>
          <w:ilvl w:val="2"/>
          <w:numId w:val="4"/>
        </w:numPr>
        <w:tabs>
          <w:tab w:val="left" w:pos="1190"/>
        </w:tabs>
        <w:spacing w:line="244" w:lineRule="auto"/>
        <w:ind w:right="10" w:hanging="317"/>
        <w:jc w:val="both"/>
      </w:pPr>
      <w:r>
        <w:t>Diversifying the portfolio so that potential losses on individual securities will be</w:t>
      </w:r>
      <w:r>
        <w:rPr>
          <w:spacing w:val="10"/>
        </w:rPr>
        <w:t xml:space="preserve"> </w:t>
      </w:r>
      <w:r>
        <w:t>minimized.</w:t>
      </w:r>
    </w:p>
    <w:p w14:paraId="72E7EB68" w14:textId="77777777" w:rsidR="00A06574" w:rsidRDefault="00A06574" w:rsidP="00896AFE">
      <w:pPr>
        <w:pStyle w:val="ListParagraph"/>
        <w:numPr>
          <w:ilvl w:val="1"/>
          <w:numId w:val="4"/>
        </w:numPr>
        <w:tabs>
          <w:tab w:val="left" w:pos="810"/>
        </w:tabs>
        <w:spacing w:before="175"/>
        <w:ind w:left="810" w:right="10" w:hanging="450"/>
        <w:jc w:val="left"/>
      </w:pPr>
      <w:r>
        <w:rPr>
          <w:b/>
        </w:rPr>
        <w:t xml:space="preserve">Interest Rate Risk: </w:t>
      </w:r>
      <w:r>
        <w:t>MAFIL will minimize the risk in the investment portfolio</w:t>
      </w:r>
      <w:r>
        <w:rPr>
          <w:spacing w:val="40"/>
        </w:rPr>
        <w:t xml:space="preserve"> </w:t>
      </w:r>
      <w:r>
        <w:t>by:</w:t>
      </w:r>
    </w:p>
    <w:p w14:paraId="463EF7FB" w14:textId="77777777" w:rsidR="00A06574" w:rsidRDefault="00A06574" w:rsidP="00A06574">
      <w:pPr>
        <w:pStyle w:val="ListParagraph"/>
        <w:numPr>
          <w:ilvl w:val="2"/>
          <w:numId w:val="4"/>
        </w:numPr>
        <w:tabs>
          <w:tab w:val="left" w:pos="1124"/>
        </w:tabs>
        <w:spacing w:before="189" w:line="244" w:lineRule="auto"/>
        <w:ind w:left="1124" w:right="10" w:hanging="253"/>
        <w:jc w:val="both"/>
      </w:pPr>
      <w:r>
        <w:t xml:space="preserve">Structuring the investment portfolio so that securities mature to meet cash requirements for ongoing operations, thereby avoiding the need to sell securities on the open market prior </w:t>
      </w:r>
      <w:r>
        <w:rPr>
          <w:spacing w:val="2"/>
        </w:rPr>
        <w:t>to</w:t>
      </w:r>
      <w:r>
        <w:rPr>
          <w:spacing w:val="20"/>
        </w:rPr>
        <w:t xml:space="preserve"> </w:t>
      </w:r>
      <w:r>
        <w:t>maturity.</w:t>
      </w:r>
    </w:p>
    <w:p w14:paraId="78BC341E" w14:textId="77777777" w:rsidR="00A06574" w:rsidRDefault="00A06574" w:rsidP="00A06574">
      <w:pPr>
        <w:pStyle w:val="ListParagraph"/>
        <w:numPr>
          <w:ilvl w:val="2"/>
          <w:numId w:val="4"/>
        </w:numPr>
        <w:tabs>
          <w:tab w:val="left" w:pos="1124"/>
        </w:tabs>
        <w:spacing w:before="183"/>
        <w:ind w:left="1124" w:right="10" w:hanging="253"/>
      </w:pPr>
      <w:r>
        <w:t>Investing operating funds primarily in shorter- term</w:t>
      </w:r>
      <w:r>
        <w:rPr>
          <w:spacing w:val="24"/>
        </w:rPr>
        <w:t xml:space="preserve"> </w:t>
      </w:r>
      <w:r>
        <w:t>securities.</w:t>
      </w:r>
    </w:p>
    <w:p w14:paraId="67285E3A" w14:textId="77777777" w:rsidR="00A06574" w:rsidRDefault="00A06574" w:rsidP="00A06574">
      <w:pPr>
        <w:pStyle w:val="BodyText"/>
        <w:spacing w:before="8"/>
        <w:ind w:right="10"/>
      </w:pPr>
    </w:p>
    <w:p w14:paraId="12B3D6AD" w14:textId="4FF59E06" w:rsidR="00A06574" w:rsidRPr="00AF3B33" w:rsidRDefault="00A06574" w:rsidP="00896AFE">
      <w:pPr>
        <w:pStyle w:val="ListParagraph"/>
        <w:numPr>
          <w:ilvl w:val="1"/>
          <w:numId w:val="4"/>
        </w:numPr>
        <w:tabs>
          <w:tab w:val="left" w:pos="900"/>
        </w:tabs>
        <w:spacing w:line="247" w:lineRule="auto"/>
        <w:ind w:left="810" w:right="10" w:hanging="445"/>
        <w:jc w:val="both"/>
      </w:pPr>
      <w:r w:rsidRPr="00AF3B33">
        <w:rPr>
          <w:b/>
        </w:rPr>
        <w:t xml:space="preserve">Liquidity: </w:t>
      </w:r>
      <w:r w:rsidRPr="00AF3B33">
        <w:t xml:space="preserve">The investment portfolio shall remain sufficiently liquid to meet all operating Requirements that may be reasonably anticipated. This will be accomplished by structuring the portfolio so that securities mature concurrent with cash needs </w:t>
      </w:r>
      <w:r w:rsidRPr="00AF3B33">
        <w:rPr>
          <w:spacing w:val="2"/>
        </w:rPr>
        <w:t xml:space="preserve">to </w:t>
      </w:r>
      <w:r w:rsidRPr="00AF3B33">
        <w:t xml:space="preserve">meet anticipated demands. Furthermore, since all possible cash demands cannot be anticipated, the portfolio shall consist largely of securities with active secondary or resale </w:t>
      </w:r>
      <w:r w:rsidR="00ED72A7" w:rsidRPr="00AF3B33">
        <w:t xml:space="preserve">markets. Negotiable securities </w:t>
      </w:r>
      <w:r w:rsidRPr="00AF3B33">
        <w:t xml:space="preserve">may be sold prior </w:t>
      </w:r>
      <w:r w:rsidRPr="00AF3B33">
        <w:rPr>
          <w:spacing w:val="2"/>
        </w:rPr>
        <w:t xml:space="preserve">to </w:t>
      </w:r>
      <w:r w:rsidRPr="00AF3B33">
        <w:t>their maturity to provide liquid funds as needed for cash flow purposed.</w:t>
      </w:r>
      <w:r w:rsidR="00813CC0" w:rsidRPr="00AF3B33">
        <w:t xml:space="preserve">  The investment under the Liquidity Risk </w:t>
      </w:r>
      <w:r w:rsidR="00ED72A7" w:rsidRPr="00AF3B33">
        <w:t>Frameworks in</w:t>
      </w:r>
      <w:r w:rsidR="00813CC0" w:rsidRPr="00AF3B33">
        <w:t xml:space="preserve"> the form of High Quality Liquid Assets shall be maintained as</w:t>
      </w:r>
      <w:r w:rsidR="0070432B" w:rsidRPr="00AF3B33">
        <w:t xml:space="preserve"> per the LCR guidelines of RBI.</w:t>
      </w:r>
      <w:r w:rsidR="00813CC0" w:rsidRPr="00AF3B33">
        <w:t xml:space="preserve"> HQLAs </w:t>
      </w:r>
      <w:r w:rsidR="002A1C43" w:rsidRPr="00AF3B33">
        <w:t xml:space="preserve">shall be managed specifically by ALCO Supporting Group as provided in the Liquidity Risk Management Policy and ALM policy. </w:t>
      </w:r>
    </w:p>
    <w:p w14:paraId="183F6B24" w14:textId="77777777" w:rsidR="00A06574" w:rsidRDefault="00A06574" w:rsidP="002A1C43">
      <w:pPr>
        <w:pStyle w:val="BodyText"/>
        <w:ind w:right="10"/>
        <w:jc w:val="both"/>
        <w:rPr>
          <w:sz w:val="20"/>
        </w:rPr>
      </w:pPr>
      <w:r>
        <w:rPr>
          <w:noProof/>
          <w:lang w:val="en-IN" w:eastAsia="en-IN" w:bidi="ar-SA"/>
        </w:rPr>
        <w:drawing>
          <wp:anchor distT="0" distB="0" distL="0" distR="0" simplePos="0" relativeHeight="251666432" behindDoc="0" locked="0" layoutInCell="1" allowOverlap="1" wp14:anchorId="412694A5" wp14:editId="002147AD">
            <wp:simplePos x="0" y="0"/>
            <wp:positionH relativeFrom="page">
              <wp:posOffset>1095755</wp:posOffset>
            </wp:positionH>
            <wp:positionV relativeFrom="page">
              <wp:posOffset>303276</wp:posOffset>
            </wp:positionV>
            <wp:extent cx="1100327" cy="339851"/>
            <wp:effectExtent l="0" t="0" r="0" b="0"/>
            <wp:wrapNone/>
            <wp:docPr id="1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jpeg"/>
                    <pic:cNvPicPr/>
                  </pic:nvPicPr>
                  <pic:blipFill>
                    <a:blip r:embed="rId7" cstate="print"/>
                    <a:stretch>
                      <a:fillRect/>
                    </a:stretch>
                  </pic:blipFill>
                  <pic:spPr>
                    <a:xfrm>
                      <a:off x="0" y="0"/>
                      <a:ext cx="1100327" cy="339851"/>
                    </a:xfrm>
                    <a:prstGeom prst="rect">
                      <a:avLst/>
                    </a:prstGeom>
                  </pic:spPr>
                </pic:pic>
              </a:graphicData>
            </a:graphic>
          </wp:anchor>
        </w:drawing>
      </w:r>
    </w:p>
    <w:p w14:paraId="53FDF1B5" w14:textId="77777777" w:rsidR="00A06574" w:rsidRDefault="00A06574" w:rsidP="00A06574">
      <w:pPr>
        <w:pStyle w:val="ListParagraph"/>
        <w:numPr>
          <w:ilvl w:val="1"/>
          <w:numId w:val="4"/>
        </w:numPr>
        <w:tabs>
          <w:tab w:val="left" w:pos="873"/>
        </w:tabs>
        <w:spacing w:before="98" w:line="244" w:lineRule="auto"/>
        <w:ind w:left="872" w:right="10" w:hanging="425"/>
        <w:jc w:val="both"/>
      </w:pPr>
      <w:r>
        <w:rPr>
          <w:b/>
        </w:rPr>
        <w:t xml:space="preserve">Yield: </w:t>
      </w:r>
      <w:r>
        <w:t>The investment portfolio shall be managed with the objective of attaining a competitive rate of return given the constraints of the safety and liquidity objectives. To ensure long-term objectives are met, securities shall not be sold prior to maturity with the following</w:t>
      </w:r>
      <w:r>
        <w:rPr>
          <w:spacing w:val="10"/>
        </w:rPr>
        <w:t xml:space="preserve"> </w:t>
      </w:r>
      <w:r>
        <w:t>exceptions:</w:t>
      </w:r>
    </w:p>
    <w:p w14:paraId="502E9E58" w14:textId="77777777" w:rsidR="00A06574" w:rsidRDefault="00A06574" w:rsidP="00A06574">
      <w:pPr>
        <w:pStyle w:val="ListParagraph"/>
        <w:numPr>
          <w:ilvl w:val="2"/>
          <w:numId w:val="4"/>
        </w:numPr>
        <w:tabs>
          <w:tab w:val="left" w:pos="1210"/>
        </w:tabs>
        <w:spacing w:before="192" w:line="247" w:lineRule="auto"/>
        <w:ind w:left="1210" w:right="10" w:hanging="255"/>
      </w:pPr>
      <w:r>
        <w:t>A security with declining credit may be sold early to minimize loss of</w:t>
      </w:r>
      <w:r>
        <w:rPr>
          <w:spacing w:val="4"/>
        </w:rPr>
        <w:t xml:space="preserve"> </w:t>
      </w:r>
      <w:r>
        <w:t>principal.</w:t>
      </w:r>
    </w:p>
    <w:p w14:paraId="277D7DE5" w14:textId="77777777" w:rsidR="00A06574" w:rsidRDefault="00A06574" w:rsidP="00A06574">
      <w:pPr>
        <w:pStyle w:val="ListParagraph"/>
        <w:numPr>
          <w:ilvl w:val="2"/>
          <w:numId w:val="4"/>
        </w:numPr>
        <w:tabs>
          <w:tab w:val="left" w:pos="1210"/>
        </w:tabs>
        <w:spacing w:before="187"/>
        <w:ind w:left="1209" w:right="10" w:hanging="255"/>
      </w:pPr>
      <w:r>
        <w:t>Liquidity requirements necessitate that the security be</w:t>
      </w:r>
      <w:r>
        <w:rPr>
          <w:spacing w:val="24"/>
        </w:rPr>
        <w:t xml:space="preserve"> </w:t>
      </w:r>
      <w:r>
        <w:t>sold.</w:t>
      </w:r>
    </w:p>
    <w:p w14:paraId="14539190" w14:textId="77777777" w:rsidR="00A06574" w:rsidRDefault="00A06574" w:rsidP="00A06574">
      <w:pPr>
        <w:pStyle w:val="BodyText"/>
        <w:ind w:right="10"/>
        <w:rPr>
          <w:sz w:val="24"/>
        </w:rPr>
      </w:pPr>
    </w:p>
    <w:p w14:paraId="6503ECD8" w14:textId="77777777" w:rsidR="00A06574" w:rsidRDefault="00A06574" w:rsidP="00A06574">
      <w:pPr>
        <w:pStyle w:val="BodyText"/>
        <w:spacing w:before="7"/>
        <w:ind w:right="10"/>
        <w:rPr>
          <w:sz w:val="20"/>
        </w:rPr>
      </w:pPr>
    </w:p>
    <w:p w14:paraId="16A3109F" w14:textId="77777777" w:rsidR="00A06574" w:rsidRDefault="00A06574" w:rsidP="00A06574">
      <w:pPr>
        <w:pStyle w:val="BodyText"/>
        <w:spacing w:before="7"/>
        <w:ind w:right="10"/>
        <w:rPr>
          <w:sz w:val="20"/>
        </w:rPr>
      </w:pPr>
    </w:p>
    <w:p w14:paraId="08C1658D" w14:textId="77777777" w:rsidR="00A06574" w:rsidRDefault="00A06574" w:rsidP="00A06574">
      <w:pPr>
        <w:pStyle w:val="Heading1"/>
        <w:numPr>
          <w:ilvl w:val="0"/>
          <w:numId w:val="9"/>
        </w:numPr>
        <w:tabs>
          <w:tab w:val="left" w:pos="518"/>
        </w:tabs>
        <w:ind w:left="517" w:right="10" w:hanging="323"/>
        <w:jc w:val="left"/>
      </w:pPr>
      <w:bookmarkStart w:id="10" w:name="_TOC_250005"/>
      <w:r>
        <w:t>Guidance for</w:t>
      </w:r>
      <w:r>
        <w:rPr>
          <w:spacing w:val="9"/>
        </w:rPr>
        <w:t xml:space="preserve"> </w:t>
      </w:r>
      <w:bookmarkEnd w:id="10"/>
      <w:r>
        <w:t>Investments:</w:t>
      </w:r>
    </w:p>
    <w:p w14:paraId="7E619821" w14:textId="77777777" w:rsidR="00A06574" w:rsidRPr="007471DF" w:rsidRDefault="00A06574" w:rsidP="00A06574">
      <w:pPr>
        <w:pStyle w:val="BodyText"/>
        <w:spacing w:before="4"/>
        <w:ind w:right="10"/>
        <w:rPr>
          <w:b/>
          <w:sz w:val="18"/>
        </w:rPr>
      </w:pPr>
    </w:p>
    <w:p w14:paraId="011615E4" w14:textId="77777777" w:rsidR="00A06574" w:rsidRPr="00334297" w:rsidRDefault="00A06574" w:rsidP="00A06574">
      <w:pPr>
        <w:pStyle w:val="ListParagraph"/>
        <w:numPr>
          <w:ilvl w:val="1"/>
          <w:numId w:val="3"/>
        </w:numPr>
        <w:tabs>
          <w:tab w:val="left" w:pos="956"/>
        </w:tabs>
        <w:spacing w:line="276" w:lineRule="auto"/>
        <w:ind w:left="955" w:right="10"/>
        <w:jc w:val="both"/>
      </w:pPr>
      <w:r w:rsidRPr="007636CA">
        <w:rPr>
          <w:b/>
          <w:w w:val="105"/>
        </w:rPr>
        <w:t>Current</w:t>
      </w:r>
      <w:r w:rsidRPr="007636CA">
        <w:rPr>
          <w:b/>
          <w:spacing w:val="-11"/>
          <w:w w:val="105"/>
        </w:rPr>
        <w:t xml:space="preserve"> </w:t>
      </w:r>
      <w:r w:rsidRPr="007636CA">
        <w:rPr>
          <w:b/>
          <w:w w:val="105"/>
        </w:rPr>
        <w:t>investments:</w:t>
      </w:r>
      <w:r w:rsidRPr="007636CA">
        <w:rPr>
          <w:b/>
          <w:spacing w:val="-9"/>
          <w:w w:val="105"/>
        </w:rPr>
        <w:t xml:space="preserve"> </w:t>
      </w:r>
      <w:r w:rsidRPr="007636CA">
        <w:rPr>
          <w:w w:val="105"/>
        </w:rPr>
        <w:t>For</w:t>
      </w:r>
      <w:r w:rsidRPr="007636CA">
        <w:rPr>
          <w:spacing w:val="-8"/>
          <w:w w:val="105"/>
        </w:rPr>
        <w:t xml:space="preserve"> </w:t>
      </w:r>
      <w:r w:rsidRPr="007636CA">
        <w:rPr>
          <w:w w:val="105"/>
        </w:rPr>
        <w:t>liquidity</w:t>
      </w:r>
      <w:r w:rsidRPr="007636CA">
        <w:rPr>
          <w:spacing w:val="-15"/>
          <w:w w:val="105"/>
        </w:rPr>
        <w:t xml:space="preserve"> </w:t>
      </w:r>
      <w:r w:rsidRPr="007636CA">
        <w:rPr>
          <w:w w:val="105"/>
        </w:rPr>
        <w:t>and</w:t>
      </w:r>
      <w:r w:rsidRPr="007636CA">
        <w:rPr>
          <w:spacing w:val="-11"/>
          <w:w w:val="105"/>
        </w:rPr>
        <w:t xml:space="preserve"> </w:t>
      </w:r>
      <w:r w:rsidRPr="007636CA">
        <w:rPr>
          <w:w w:val="105"/>
        </w:rPr>
        <w:t>treasury</w:t>
      </w:r>
      <w:r w:rsidRPr="007636CA">
        <w:rPr>
          <w:spacing w:val="-11"/>
          <w:w w:val="105"/>
        </w:rPr>
        <w:t xml:space="preserve"> </w:t>
      </w:r>
      <w:r w:rsidRPr="007636CA">
        <w:rPr>
          <w:w w:val="105"/>
        </w:rPr>
        <w:t>management,</w:t>
      </w:r>
      <w:r w:rsidRPr="007636CA">
        <w:rPr>
          <w:spacing w:val="-13"/>
          <w:w w:val="105"/>
        </w:rPr>
        <w:t xml:space="preserve"> </w:t>
      </w:r>
      <w:r w:rsidRPr="007636CA">
        <w:rPr>
          <w:w w:val="105"/>
        </w:rPr>
        <w:t>investment</w:t>
      </w:r>
      <w:r w:rsidRPr="007636CA">
        <w:rPr>
          <w:spacing w:val="-8"/>
          <w:w w:val="105"/>
        </w:rPr>
        <w:t xml:space="preserve"> </w:t>
      </w:r>
      <w:r w:rsidRPr="007636CA">
        <w:rPr>
          <w:w w:val="105"/>
        </w:rPr>
        <w:t>up</w:t>
      </w:r>
      <w:r w:rsidRPr="007636CA">
        <w:rPr>
          <w:spacing w:val="-10"/>
          <w:w w:val="105"/>
        </w:rPr>
        <w:t xml:space="preserve"> </w:t>
      </w:r>
      <w:r w:rsidRPr="007636CA">
        <w:rPr>
          <w:w w:val="105"/>
        </w:rPr>
        <w:t>to</w:t>
      </w:r>
      <w:r w:rsidRPr="007636CA">
        <w:rPr>
          <w:spacing w:val="-12"/>
          <w:w w:val="105"/>
        </w:rPr>
        <w:t xml:space="preserve"> </w:t>
      </w:r>
      <w:r w:rsidRPr="007636CA">
        <w:rPr>
          <w:w w:val="105"/>
        </w:rPr>
        <w:t xml:space="preserve">Rs </w:t>
      </w:r>
      <w:r>
        <w:rPr>
          <w:w w:val="105"/>
        </w:rPr>
        <w:t>3,000</w:t>
      </w:r>
      <w:r w:rsidRPr="007636CA">
        <w:rPr>
          <w:w w:val="105"/>
        </w:rPr>
        <w:t xml:space="preserve"> cr shall be made in the following short-term</w:t>
      </w:r>
      <w:r w:rsidRPr="007636CA">
        <w:rPr>
          <w:spacing w:val="-39"/>
          <w:w w:val="105"/>
        </w:rPr>
        <w:t xml:space="preserve"> </w:t>
      </w:r>
      <w:r w:rsidRPr="007636CA">
        <w:rPr>
          <w:w w:val="105"/>
        </w:rPr>
        <w:t>instruments.</w:t>
      </w:r>
    </w:p>
    <w:p w14:paraId="47526E85" w14:textId="1145402D" w:rsidR="00A06574" w:rsidRDefault="00A06574" w:rsidP="00A06574">
      <w:pPr>
        <w:pStyle w:val="ListParagraph"/>
        <w:numPr>
          <w:ilvl w:val="2"/>
          <w:numId w:val="3"/>
        </w:numPr>
        <w:tabs>
          <w:tab w:val="left" w:pos="1210"/>
        </w:tabs>
        <w:spacing w:before="122" w:line="285" w:lineRule="auto"/>
        <w:ind w:right="10" w:hanging="255"/>
        <w:jc w:val="both"/>
      </w:pPr>
      <w:r>
        <w:t>Term deposits with banks: Deposit with any single bank shall not exceed Rs.500</w:t>
      </w:r>
      <w:r>
        <w:rPr>
          <w:spacing w:val="1"/>
        </w:rPr>
        <w:t xml:space="preserve"> </w:t>
      </w:r>
      <w:r>
        <w:t>Cr subject to the total credit facilities availed from the bank at any point of time and this amount may go up considering operational requirements with the approval of MD &amp; CEO.</w:t>
      </w:r>
    </w:p>
    <w:p w14:paraId="28BBC947" w14:textId="7EC32D2A" w:rsidR="009749D3" w:rsidRPr="00AF3B33" w:rsidRDefault="009749D3" w:rsidP="009749D3">
      <w:pPr>
        <w:pStyle w:val="ListParagraph"/>
        <w:tabs>
          <w:tab w:val="left" w:pos="1210"/>
        </w:tabs>
        <w:spacing w:before="122" w:line="285" w:lineRule="auto"/>
        <w:ind w:left="1210" w:right="10" w:firstLine="0"/>
        <w:jc w:val="both"/>
      </w:pPr>
      <w:r w:rsidRPr="00AF3B33">
        <w:t>Deposit with single Small Finance Bank should not exceed Rs 50 cr or its exposure to us under credit fa</w:t>
      </w:r>
      <w:r w:rsidR="0080556E" w:rsidRPr="00AF3B33">
        <w:t xml:space="preserve">cilities, whichever is lower. </w:t>
      </w:r>
      <w:r w:rsidRPr="00AF3B33">
        <w:t>Deposits with banks placed under Prompt Corrective Action (PCA) Framework shall not exceed</w:t>
      </w:r>
      <w:r w:rsidR="002C374B" w:rsidRPr="00AF3B33">
        <w:t xml:space="preserve"> the outstanding in credit facilities availed of by us. </w:t>
      </w:r>
      <w:r w:rsidRPr="00AF3B33">
        <w:t xml:space="preserve"> </w:t>
      </w:r>
    </w:p>
    <w:p w14:paraId="4066C1FA" w14:textId="12210DAD" w:rsidR="00A06574" w:rsidRPr="00AF3B33" w:rsidRDefault="00A06574" w:rsidP="00A06574">
      <w:pPr>
        <w:pStyle w:val="ListParagraph"/>
        <w:numPr>
          <w:ilvl w:val="2"/>
          <w:numId w:val="3"/>
        </w:numPr>
        <w:tabs>
          <w:tab w:val="left" w:pos="1210"/>
        </w:tabs>
        <w:spacing w:before="122" w:line="285" w:lineRule="auto"/>
        <w:ind w:right="10" w:hanging="255"/>
        <w:jc w:val="both"/>
      </w:pPr>
      <w:r w:rsidRPr="00AF3B33">
        <w:t xml:space="preserve">Term deposits with FIs: Deposit with any single FIs shall not exceed Rs 25 Cr and the maximum investment limit Rs 200 </w:t>
      </w:r>
      <w:r w:rsidR="00ED72A7" w:rsidRPr="00AF3B33">
        <w:t>cr at</w:t>
      </w:r>
      <w:r w:rsidRPr="00AF3B33">
        <w:t xml:space="preserve"> any point of time. </w:t>
      </w:r>
    </w:p>
    <w:p w14:paraId="412C7B12" w14:textId="3B1D79E2" w:rsidR="00A06574" w:rsidRPr="00AF3B33" w:rsidRDefault="00A06574" w:rsidP="00A06574">
      <w:pPr>
        <w:pStyle w:val="ListParagraph"/>
        <w:numPr>
          <w:ilvl w:val="2"/>
          <w:numId w:val="3"/>
        </w:numPr>
        <w:tabs>
          <w:tab w:val="left" w:pos="1210"/>
        </w:tabs>
        <w:spacing w:before="108" w:line="283" w:lineRule="auto"/>
        <w:ind w:right="10" w:hanging="255"/>
        <w:jc w:val="both"/>
      </w:pPr>
      <w:r w:rsidRPr="00AF3B33">
        <w:t>Units of money market mutual funds: The Asset Management Company shall have minimum rating of AAA and the maximum investment shall be restricted to Rs.500 Cr at any point of</w:t>
      </w:r>
      <w:r w:rsidRPr="00AF3B33">
        <w:rPr>
          <w:spacing w:val="27"/>
        </w:rPr>
        <w:t xml:space="preserve"> </w:t>
      </w:r>
      <w:r w:rsidRPr="00AF3B33">
        <w:t>time.</w:t>
      </w:r>
      <w:r w:rsidR="009749D3" w:rsidRPr="00AF3B33">
        <w:t xml:space="preserve"> </w:t>
      </w:r>
      <w:r w:rsidR="002C374B" w:rsidRPr="00AF3B33">
        <w:t>Investments shall be in the open ended schemes, which allows exit from the funds any time. Investments in Low risk mutual funds and liq</w:t>
      </w:r>
      <w:r w:rsidR="00692E68" w:rsidRPr="00AF3B33">
        <w:t>uid funds should be preferred.</w:t>
      </w:r>
      <w:r w:rsidR="002C374B" w:rsidRPr="00AF3B33">
        <w:t xml:space="preserve"> Exposure to growth funds shall be restricted to 25% of investment in mutual funds.   </w:t>
      </w:r>
    </w:p>
    <w:p w14:paraId="627A46EA" w14:textId="77777777" w:rsidR="00A06574" w:rsidRPr="007636CA" w:rsidRDefault="00A06574" w:rsidP="00A06574">
      <w:pPr>
        <w:pStyle w:val="ListParagraph"/>
        <w:numPr>
          <w:ilvl w:val="2"/>
          <w:numId w:val="3"/>
        </w:numPr>
        <w:tabs>
          <w:tab w:val="left" w:pos="1210"/>
        </w:tabs>
        <w:spacing w:before="113" w:line="280" w:lineRule="auto"/>
        <w:ind w:right="10" w:hanging="255"/>
        <w:jc w:val="both"/>
      </w:pPr>
      <w:r w:rsidRPr="00334297">
        <w:rPr>
          <w:w w:val="105"/>
        </w:rPr>
        <w:t>Commercial</w:t>
      </w:r>
      <w:r w:rsidRPr="00334297">
        <w:rPr>
          <w:spacing w:val="-22"/>
          <w:w w:val="105"/>
        </w:rPr>
        <w:t xml:space="preserve"> </w:t>
      </w:r>
      <w:r w:rsidRPr="00334297">
        <w:rPr>
          <w:w w:val="105"/>
        </w:rPr>
        <w:t>papers,</w:t>
      </w:r>
      <w:r w:rsidRPr="001426C6">
        <w:rPr>
          <w:spacing w:val="-21"/>
          <w:w w:val="105"/>
        </w:rPr>
        <w:t xml:space="preserve"> </w:t>
      </w:r>
      <w:r w:rsidRPr="001426C6">
        <w:rPr>
          <w:w w:val="105"/>
        </w:rPr>
        <w:t>certificate</w:t>
      </w:r>
      <w:r w:rsidRPr="001426C6">
        <w:rPr>
          <w:spacing w:val="-22"/>
          <w:w w:val="105"/>
        </w:rPr>
        <w:t xml:space="preserve"> </w:t>
      </w:r>
      <w:r w:rsidRPr="001426C6">
        <w:rPr>
          <w:w w:val="105"/>
        </w:rPr>
        <w:t>of</w:t>
      </w:r>
      <w:r w:rsidRPr="001426C6">
        <w:rPr>
          <w:spacing w:val="-21"/>
          <w:w w:val="105"/>
        </w:rPr>
        <w:t xml:space="preserve"> </w:t>
      </w:r>
      <w:r w:rsidRPr="001426C6">
        <w:rPr>
          <w:w w:val="105"/>
        </w:rPr>
        <w:t>deposits</w:t>
      </w:r>
      <w:r w:rsidRPr="001426C6">
        <w:rPr>
          <w:spacing w:val="-22"/>
          <w:w w:val="105"/>
        </w:rPr>
        <w:t xml:space="preserve"> </w:t>
      </w:r>
      <w:r w:rsidRPr="001426C6">
        <w:rPr>
          <w:w w:val="105"/>
        </w:rPr>
        <w:t>(Minimum</w:t>
      </w:r>
      <w:r w:rsidRPr="001426C6">
        <w:rPr>
          <w:spacing w:val="-21"/>
          <w:w w:val="105"/>
        </w:rPr>
        <w:t xml:space="preserve"> </w:t>
      </w:r>
      <w:r w:rsidRPr="001426C6">
        <w:rPr>
          <w:w w:val="105"/>
        </w:rPr>
        <w:t>credit</w:t>
      </w:r>
      <w:r w:rsidRPr="001426C6">
        <w:rPr>
          <w:spacing w:val="-23"/>
          <w:w w:val="105"/>
        </w:rPr>
        <w:t xml:space="preserve"> </w:t>
      </w:r>
      <w:r w:rsidRPr="001426C6">
        <w:rPr>
          <w:w w:val="105"/>
        </w:rPr>
        <w:t>rating</w:t>
      </w:r>
      <w:r w:rsidRPr="001426C6">
        <w:rPr>
          <w:spacing w:val="-18"/>
          <w:w w:val="105"/>
        </w:rPr>
        <w:t xml:space="preserve"> </w:t>
      </w:r>
      <w:r w:rsidRPr="007636CA">
        <w:rPr>
          <w:w w:val="105"/>
        </w:rPr>
        <w:t>CRISIL</w:t>
      </w:r>
      <w:r w:rsidRPr="007636CA">
        <w:rPr>
          <w:spacing w:val="-20"/>
          <w:w w:val="105"/>
        </w:rPr>
        <w:t xml:space="preserve"> </w:t>
      </w:r>
      <w:r w:rsidRPr="007636CA">
        <w:rPr>
          <w:w w:val="105"/>
        </w:rPr>
        <w:t>– A1): Maximum exposure to CPs</w:t>
      </w:r>
      <w:r>
        <w:rPr>
          <w:w w:val="105"/>
        </w:rPr>
        <w:t>/CDs</w:t>
      </w:r>
      <w:r w:rsidRPr="007636CA">
        <w:rPr>
          <w:w w:val="105"/>
        </w:rPr>
        <w:t xml:space="preserve"> shall be Rs.200</w:t>
      </w:r>
      <w:r w:rsidRPr="007636CA">
        <w:rPr>
          <w:spacing w:val="-25"/>
          <w:w w:val="105"/>
        </w:rPr>
        <w:t xml:space="preserve"> </w:t>
      </w:r>
      <w:r w:rsidRPr="007636CA">
        <w:rPr>
          <w:w w:val="105"/>
        </w:rPr>
        <w:t>Cr.</w:t>
      </w:r>
    </w:p>
    <w:p w14:paraId="07FF75FF" w14:textId="77777777" w:rsidR="00A06574" w:rsidRDefault="00A06574" w:rsidP="00A06574">
      <w:pPr>
        <w:pStyle w:val="ListParagraph"/>
        <w:numPr>
          <w:ilvl w:val="2"/>
          <w:numId w:val="3"/>
        </w:numPr>
        <w:tabs>
          <w:tab w:val="left" w:pos="1210"/>
        </w:tabs>
        <w:spacing w:before="118" w:line="283" w:lineRule="auto"/>
        <w:ind w:right="10" w:hanging="255"/>
        <w:jc w:val="both"/>
      </w:pPr>
      <w:r>
        <w:t>Any other short-term instruments approved by Financial Resource Management Committee of the Board</w:t>
      </w:r>
      <w:r>
        <w:rPr>
          <w:spacing w:val="17"/>
        </w:rPr>
        <w:t xml:space="preserve"> </w:t>
      </w:r>
      <w:r>
        <w:t>(FRMC).</w:t>
      </w:r>
    </w:p>
    <w:p w14:paraId="6A7A987C" w14:textId="77777777" w:rsidR="00761692" w:rsidRDefault="00A06574" w:rsidP="00A06574">
      <w:pPr>
        <w:pStyle w:val="BodyText"/>
        <w:spacing w:before="114" w:line="283" w:lineRule="auto"/>
        <w:ind w:left="955" w:right="10"/>
        <w:jc w:val="both"/>
      </w:pPr>
      <w:r>
        <w:t>Note</w:t>
      </w:r>
      <w:r w:rsidR="00761692">
        <w:t>1</w:t>
      </w:r>
      <w:r>
        <w:t>: Subscription to units of Mutual Funds and Commercial Paper/CDs shall be based on a list of issuers approved by FRMC</w:t>
      </w:r>
    </w:p>
    <w:p w14:paraId="6E5E7C32" w14:textId="3A50BA66" w:rsidR="00A06574" w:rsidRPr="00AF3B33" w:rsidRDefault="00761692" w:rsidP="00A06574">
      <w:pPr>
        <w:pStyle w:val="BodyText"/>
        <w:spacing w:before="114" w:line="283" w:lineRule="auto"/>
        <w:ind w:left="955" w:right="10"/>
        <w:jc w:val="both"/>
      </w:pPr>
      <w:r w:rsidRPr="00AF3B33">
        <w:t>Note 2: ALM Support Group shall monitor the exposure limits and compliance shall be placed to ALCO</w:t>
      </w:r>
      <w:r w:rsidR="00A06574" w:rsidRPr="00AF3B33">
        <w:t>.</w:t>
      </w:r>
    </w:p>
    <w:p w14:paraId="39CF6BB9" w14:textId="77777777" w:rsidR="00A06574" w:rsidRPr="00AF3B33" w:rsidRDefault="00A06574" w:rsidP="00A06574">
      <w:pPr>
        <w:spacing w:line="244" w:lineRule="auto"/>
        <w:ind w:right="10"/>
        <w:jc w:val="both"/>
      </w:pPr>
    </w:p>
    <w:p w14:paraId="65645EDD" w14:textId="2B50EE45" w:rsidR="00A06574" w:rsidRPr="00AF3B33" w:rsidRDefault="00A06574" w:rsidP="00A06574">
      <w:pPr>
        <w:tabs>
          <w:tab w:val="left" w:pos="900"/>
        </w:tabs>
        <w:spacing w:line="244" w:lineRule="auto"/>
        <w:ind w:left="900" w:right="10" w:hanging="540"/>
        <w:jc w:val="both"/>
        <w:rPr>
          <w:noProof/>
          <w:lang w:bidi="ar-SA"/>
        </w:rPr>
      </w:pPr>
      <w:r w:rsidRPr="00AF3B33">
        <w:rPr>
          <w:b/>
        </w:rPr>
        <w:t>6.</w:t>
      </w:r>
      <w:r w:rsidR="008F47B8">
        <w:rPr>
          <w:b/>
        </w:rPr>
        <w:t xml:space="preserve">2  </w:t>
      </w:r>
      <w:r w:rsidRPr="00AF3B33">
        <w:rPr>
          <w:b/>
          <w:noProof/>
          <w:lang w:bidi="ar-SA"/>
        </w:rPr>
        <w:t>Investments in subsidiaries:</w:t>
      </w:r>
      <w:r w:rsidRPr="00AF3B33">
        <w:rPr>
          <w:noProof/>
          <w:lang w:bidi="ar-SA"/>
        </w:rPr>
        <w:t xml:space="preserve"> MAFIL recognises that in the initial 3 to 5 years of formation of subsidiaries, they may require parental support in the form of equity and loans. The Company’s general policy is that each subsidiary once reaching 3 to 5 years of existence, should be able to raise the resources required from the market based on its own credentials.             </w:t>
      </w:r>
    </w:p>
    <w:p w14:paraId="56982923" w14:textId="77777777" w:rsidR="00A06574" w:rsidRPr="00AF3B33" w:rsidRDefault="00A06574" w:rsidP="00A06574">
      <w:pPr>
        <w:tabs>
          <w:tab w:val="left" w:pos="900"/>
        </w:tabs>
        <w:spacing w:line="244" w:lineRule="auto"/>
        <w:ind w:left="900" w:right="10" w:hanging="540"/>
        <w:jc w:val="both"/>
        <w:rPr>
          <w:noProof/>
          <w:lang w:bidi="ar-SA"/>
        </w:rPr>
      </w:pPr>
    </w:p>
    <w:p w14:paraId="266F104A" w14:textId="07CE5E1B" w:rsidR="00A06574" w:rsidRPr="00AF3B33" w:rsidRDefault="00A06574" w:rsidP="00A06574">
      <w:pPr>
        <w:tabs>
          <w:tab w:val="left" w:pos="900"/>
        </w:tabs>
        <w:spacing w:line="244" w:lineRule="auto"/>
        <w:ind w:left="900" w:right="10"/>
        <w:jc w:val="both"/>
        <w:rPr>
          <w:noProof/>
          <w:lang w:bidi="ar-SA"/>
        </w:rPr>
      </w:pPr>
      <w:r w:rsidRPr="00AF3B33">
        <w:rPr>
          <w:noProof/>
          <w:lang w:bidi="ar-SA"/>
        </w:rPr>
        <w:t>Notwithstanding, the company is required to recognise that there may be difficulties for subsidiaries which are in existence for 3 to 5 years also</w:t>
      </w:r>
      <w:r w:rsidR="0034673D" w:rsidRPr="00AF3B33">
        <w:rPr>
          <w:noProof/>
          <w:lang w:bidi="ar-SA"/>
        </w:rPr>
        <w:t>,</w:t>
      </w:r>
      <w:r w:rsidRPr="00AF3B33">
        <w:rPr>
          <w:noProof/>
          <w:lang w:bidi="ar-SA"/>
        </w:rPr>
        <w:t xml:space="preserve"> in raising resources at economically sustainable and competitive terms due to various systemic issues like the prevailing Covid – 19 situation.</w:t>
      </w:r>
    </w:p>
    <w:p w14:paraId="0DD0A1EE" w14:textId="77777777" w:rsidR="00A06574" w:rsidRDefault="00A06574" w:rsidP="00A06574">
      <w:pPr>
        <w:tabs>
          <w:tab w:val="left" w:pos="900"/>
        </w:tabs>
        <w:spacing w:line="244" w:lineRule="auto"/>
        <w:ind w:left="900" w:right="10"/>
        <w:jc w:val="both"/>
        <w:rPr>
          <w:sz w:val="28"/>
        </w:rPr>
      </w:pPr>
      <w:r>
        <w:rPr>
          <w:noProof/>
          <w:lang w:val="en-IN" w:eastAsia="en-IN" w:bidi="ar-SA"/>
        </w:rPr>
        <w:lastRenderedPageBreak/>
        <w:drawing>
          <wp:anchor distT="0" distB="0" distL="0" distR="0" simplePos="0" relativeHeight="251667456" behindDoc="0" locked="0" layoutInCell="1" allowOverlap="1" wp14:anchorId="17C76123" wp14:editId="56E6326A">
            <wp:simplePos x="0" y="0"/>
            <wp:positionH relativeFrom="page">
              <wp:posOffset>1095755</wp:posOffset>
            </wp:positionH>
            <wp:positionV relativeFrom="page">
              <wp:posOffset>303276</wp:posOffset>
            </wp:positionV>
            <wp:extent cx="1100327" cy="339851"/>
            <wp:effectExtent l="0" t="0" r="0" b="0"/>
            <wp:wrapNone/>
            <wp:docPr id="1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jpeg"/>
                    <pic:cNvPicPr/>
                  </pic:nvPicPr>
                  <pic:blipFill>
                    <a:blip r:embed="rId7" cstate="print"/>
                    <a:stretch>
                      <a:fillRect/>
                    </a:stretch>
                  </pic:blipFill>
                  <pic:spPr>
                    <a:xfrm>
                      <a:off x="0" y="0"/>
                      <a:ext cx="1100327" cy="339851"/>
                    </a:xfrm>
                    <a:prstGeom prst="rect">
                      <a:avLst/>
                    </a:prstGeom>
                  </pic:spPr>
                </pic:pic>
              </a:graphicData>
            </a:graphic>
          </wp:anchor>
        </w:drawing>
      </w:r>
    </w:p>
    <w:p w14:paraId="17E0E009" w14:textId="77777777" w:rsidR="00A06574" w:rsidRPr="00A06574" w:rsidRDefault="00A06574" w:rsidP="00A06574">
      <w:pPr>
        <w:pStyle w:val="BodyText"/>
        <w:ind w:left="900" w:right="10"/>
        <w:jc w:val="both"/>
      </w:pPr>
      <w:r w:rsidRPr="00A06574">
        <w:t>MAFIL may invest in subsidiaries within the statutory and regulatory guidelines, subject to approval from the Board of Directors. Board of Directors may also approve strategic investments in other companies for furtherance of the business of MAFIL within the statutory and regulatory limit.</w:t>
      </w:r>
    </w:p>
    <w:p w14:paraId="28FF7211" w14:textId="77777777" w:rsidR="00A06574" w:rsidRDefault="00A06574" w:rsidP="00A06574">
      <w:pPr>
        <w:pStyle w:val="BodyText"/>
        <w:spacing w:before="6"/>
        <w:ind w:right="10"/>
        <w:rPr>
          <w:sz w:val="29"/>
        </w:rPr>
      </w:pPr>
    </w:p>
    <w:p w14:paraId="6AC7C3E0" w14:textId="09F62367" w:rsidR="00A06574" w:rsidRPr="00A06574" w:rsidRDefault="00A06574" w:rsidP="00A06574">
      <w:pPr>
        <w:pStyle w:val="BodyText"/>
        <w:spacing w:before="6"/>
        <w:ind w:left="900" w:right="10" w:hanging="540"/>
        <w:jc w:val="both"/>
      </w:pPr>
      <w:r>
        <w:rPr>
          <w:b/>
        </w:rPr>
        <w:t xml:space="preserve">6.3   </w:t>
      </w:r>
      <w:r w:rsidRPr="00552B85">
        <w:rPr>
          <w:b/>
        </w:rPr>
        <w:t xml:space="preserve">Investments for creation of debenture redemption </w:t>
      </w:r>
      <w:r w:rsidR="00A13994" w:rsidRPr="00552B85">
        <w:rPr>
          <w:b/>
        </w:rPr>
        <w:t>Fund (</w:t>
      </w:r>
      <w:r w:rsidRPr="00552B85">
        <w:rPr>
          <w:b/>
        </w:rPr>
        <w:t>DRF):</w:t>
      </w:r>
      <w:r w:rsidRPr="00552B85">
        <w:t xml:space="preserve"> As per the current regulations (Companies Act and SEBI guidelines) Listed NBFCs, though exempted from creation of Debenture Redemption Reserve (DRR</w:t>
      </w:r>
      <w:r w:rsidR="00A13994" w:rsidRPr="00552B85">
        <w:t>), are</w:t>
      </w:r>
      <w:r w:rsidRPr="00552B85">
        <w:t xml:space="preserve"> required to create DRF for the publicly placed debentures and bonds and shall deposit /invest in the prescribed investments a sum equal to 15% of the amount of its debentures maturing during the year ending on 31st March next</w:t>
      </w:r>
      <w:r w:rsidRPr="00A06574">
        <w:t xml:space="preserve"> following on or before 30th April. Prescribed investments are as follows:</w:t>
      </w:r>
    </w:p>
    <w:p w14:paraId="0CB25014" w14:textId="77777777" w:rsidR="00A06574" w:rsidRPr="00A06574" w:rsidRDefault="00A06574" w:rsidP="00A06574">
      <w:pPr>
        <w:pStyle w:val="BodyText"/>
        <w:spacing w:before="6"/>
        <w:ind w:right="10"/>
        <w:rPr>
          <w:sz w:val="29"/>
        </w:rPr>
      </w:pPr>
    </w:p>
    <w:p w14:paraId="2FB6D1BA" w14:textId="77777777" w:rsidR="00A06574" w:rsidRPr="00A06574" w:rsidRDefault="00A06574" w:rsidP="00A06574">
      <w:pPr>
        <w:pStyle w:val="BodyText"/>
        <w:numPr>
          <w:ilvl w:val="1"/>
          <w:numId w:val="12"/>
        </w:numPr>
        <w:ind w:right="10"/>
      </w:pPr>
      <w:r w:rsidRPr="00A06574">
        <w:t>Deposit with scheduled commercial bank free from charge or lien.</w:t>
      </w:r>
    </w:p>
    <w:p w14:paraId="1398AAD5" w14:textId="77777777" w:rsidR="00A06574" w:rsidRDefault="00A06574" w:rsidP="00A06574">
      <w:pPr>
        <w:pStyle w:val="BodyText"/>
        <w:numPr>
          <w:ilvl w:val="1"/>
          <w:numId w:val="12"/>
        </w:numPr>
        <w:ind w:right="10"/>
      </w:pPr>
      <w:r w:rsidRPr="00A06574">
        <w:t>Un encumbered securities of the Central or any state Governments</w:t>
      </w:r>
    </w:p>
    <w:p w14:paraId="62DE742F" w14:textId="4DD65A37" w:rsidR="00A06574" w:rsidRDefault="00A06574" w:rsidP="00A06574">
      <w:pPr>
        <w:pStyle w:val="BodyText"/>
        <w:numPr>
          <w:ilvl w:val="1"/>
          <w:numId w:val="12"/>
        </w:numPr>
        <w:ind w:right="10"/>
      </w:pPr>
      <w:r w:rsidRPr="00A06574">
        <w:t>Unencumbered securities prescribed in the Indian Trust Act,1882</w:t>
      </w:r>
    </w:p>
    <w:p w14:paraId="7F9931C8" w14:textId="77777777" w:rsidR="00475CEB" w:rsidRDefault="00475CEB" w:rsidP="00475CEB">
      <w:pPr>
        <w:pStyle w:val="BodyText"/>
        <w:tabs>
          <w:tab w:val="left" w:pos="8550"/>
        </w:tabs>
        <w:spacing w:before="138" w:line="266" w:lineRule="auto"/>
        <w:ind w:right="10"/>
        <w:jc w:val="both"/>
        <w:rPr>
          <w:b/>
        </w:rPr>
      </w:pPr>
      <w:r>
        <w:rPr>
          <w:b/>
        </w:rPr>
        <w:t xml:space="preserve">      </w:t>
      </w:r>
    </w:p>
    <w:p w14:paraId="2AD2BF79" w14:textId="16B9E985" w:rsidR="00475CEB" w:rsidRPr="00FC1D99" w:rsidRDefault="00475CEB" w:rsidP="00475CEB">
      <w:pPr>
        <w:pStyle w:val="BodyText"/>
        <w:tabs>
          <w:tab w:val="left" w:pos="8550"/>
        </w:tabs>
        <w:spacing w:before="138" w:line="266" w:lineRule="auto"/>
        <w:ind w:right="10"/>
        <w:jc w:val="both"/>
        <w:rPr>
          <w:b/>
          <w:highlight w:val="yellow"/>
        </w:rPr>
      </w:pPr>
      <w:r>
        <w:rPr>
          <w:b/>
        </w:rPr>
        <w:t xml:space="preserve">      </w:t>
      </w:r>
      <w:r w:rsidRPr="00FC1D99">
        <w:rPr>
          <w:b/>
          <w:highlight w:val="yellow"/>
        </w:rPr>
        <w:t>6.4    Investment in Partnership Firm/LLP/AOP:</w:t>
      </w:r>
    </w:p>
    <w:p w14:paraId="433F2CB4" w14:textId="34247F64" w:rsidR="00475CEB" w:rsidRPr="00EC7FBF" w:rsidRDefault="00475CEB" w:rsidP="00475CEB">
      <w:pPr>
        <w:pStyle w:val="BodyText"/>
        <w:tabs>
          <w:tab w:val="left" w:pos="8550"/>
        </w:tabs>
        <w:spacing w:before="138" w:line="266" w:lineRule="auto"/>
        <w:ind w:left="900" w:right="10"/>
        <w:jc w:val="both"/>
        <w:rPr>
          <w:b/>
          <w:bCs/>
        </w:rPr>
      </w:pPr>
      <w:r w:rsidRPr="00FC1D99">
        <w:rPr>
          <w:highlight w:val="yellow"/>
        </w:rPr>
        <w:t xml:space="preserve"> </w:t>
      </w:r>
      <w:r w:rsidR="00940A48" w:rsidRPr="00FC1D99">
        <w:rPr>
          <w:highlight w:val="yellow"/>
        </w:rPr>
        <w:t xml:space="preserve">The </w:t>
      </w:r>
      <w:r w:rsidRPr="00FC1D99">
        <w:rPr>
          <w:highlight w:val="yellow"/>
        </w:rPr>
        <w:t xml:space="preserve">Company shall not contribute to the capital of a partnership firm or become a partner </w:t>
      </w:r>
      <w:r w:rsidR="00940A48" w:rsidRPr="00FC1D99">
        <w:rPr>
          <w:highlight w:val="yellow"/>
        </w:rPr>
        <w:t>of</w:t>
      </w:r>
      <w:r w:rsidRPr="00FC1D99">
        <w:rPr>
          <w:highlight w:val="yellow"/>
        </w:rPr>
        <w:t xml:space="preserve"> such firm/LLP/AOP.</w:t>
      </w:r>
    </w:p>
    <w:p w14:paraId="334FC420" w14:textId="77777777" w:rsidR="00475CEB" w:rsidRPr="00A06574" w:rsidRDefault="00475CEB" w:rsidP="00475CEB">
      <w:pPr>
        <w:pStyle w:val="BodyText"/>
        <w:ind w:right="10"/>
      </w:pPr>
    </w:p>
    <w:p w14:paraId="514BFF9D" w14:textId="1AFD379F" w:rsidR="00A06574" w:rsidRDefault="00475CEB" w:rsidP="00A06574">
      <w:pPr>
        <w:pStyle w:val="BodyText"/>
        <w:spacing w:before="6"/>
        <w:ind w:left="900" w:right="10" w:hanging="540"/>
        <w:jc w:val="both"/>
      </w:pPr>
      <w:r>
        <w:rPr>
          <w:b/>
        </w:rPr>
        <w:t>6.5</w:t>
      </w:r>
      <w:r w:rsidR="00A06574" w:rsidRPr="00A06574">
        <w:rPr>
          <w:b/>
        </w:rPr>
        <w:tab/>
        <w:t>Classification of investments:</w:t>
      </w:r>
      <w:r w:rsidR="00A06574" w:rsidRPr="00A06574">
        <w:t xml:space="preserve"> Investments for treasury management and liquidity purposes shall be of current investment in nature.</w:t>
      </w:r>
      <w:r w:rsidR="00A06574">
        <w:t xml:space="preserve"> </w:t>
      </w:r>
      <w:r w:rsidR="00A06574" w:rsidRPr="00A06574">
        <w:t>Credit substitutes like PTC shall have longer maturity and classified under long term investments and shall be treated under the securitization guidelines for asset classification and income recognition and provisioning.</w:t>
      </w:r>
    </w:p>
    <w:p w14:paraId="6B9A0C30" w14:textId="77777777" w:rsidR="00A06574" w:rsidRDefault="00A06574" w:rsidP="00A06574">
      <w:pPr>
        <w:pStyle w:val="BodyText"/>
        <w:spacing w:before="6"/>
        <w:ind w:left="900" w:right="10" w:hanging="540"/>
        <w:jc w:val="both"/>
      </w:pPr>
    </w:p>
    <w:p w14:paraId="0FD28BB2" w14:textId="5A32E3E0" w:rsidR="00A06574" w:rsidRDefault="00475CEB" w:rsidP="00475CEB">
      <w:pPr>
        <w:pStyle w:val="ListParagraph"/>
        <w:numPr>
          <w:ilvl w:val="1"/>
          <w:numId w:val="19"/>
        </w:numPr>
        <w:tabs>
          <w:tab w:val="left" w:pos="810"/>
        </w:tabs>
        <w:spacing w:before="205" w:line="283" w:lineRule="auto"/>
        <w:ind w:right="10"/>
        <w:jc w:val="both"/>
      </w:pPr>
      <w:r>
        <w:rPr>
          <w:b/>
        </w:rPr>
        <w:t xml:space="preserve">   </w:t>
      </w:r>
      <w:r w:rsidR="00A06574" w:rsidRPr="00475CEB">
        <w:rPr>
          <w:b/>
        </w:rPr>
        <w:t>Delegated powers</w:t>
      </w:r>
      <w:r w:rsidR="00A06574">
        <w:t xml:space="preserve">: All investment decisions shall be taken by an Investment </w:t>
      </w:r>
      <w:r>
        <w:t xml:space="preserve">                     </w:t>
      </w:r>
      <w:r w:rsidR="00A06574">
        <w:t>Committee consisting of the following</w:t>
      </w:r>
      <w:r w:rsidR="00A06574" w:rsidRPr="00475CEB">
        <w:rPr>
          <w:spacing w:val="12"/>
        </w:rPr>
        <w:t xml:space="preserve"> </w:t>
      </w:r>
      <w:r w:rsidR="00A06574">
        <w:t>members:</w:t>
      </w:r>
    </w:p>
    <w:p w14:paraId="1B45E1B1" w14:textId="77777777" w:rsidR="00A06574" w:rsidRPr="00CD0F30" w:rsidRDefault="00A06574" w:rsidP="00A06574">
      <w:pPr>
        <w:pStyle w:val="BodyText"/>
        <w:spacing w:before="6"/>
        <w:ind w:right="10"/>
        <w:rPr>
          <w:sz w:val="20"/>
        </w:rPr>
      </w:pPr>
    </w:p>
    <w:p w14:paraId="62EFF55A" w14:textId="77777777" w:rsidR="00A06574" w:rsidRDefault="00A06574" w:rsidP="00A06574">
      <w:pPr>
        <w:pStyle w:val="BodyText"/>
        <w:tabs>
          <w:tab w:val="left" w:pos="4531"/>
        </w:tabs>
        <w:spacing w:before="1" w:line="244" w:lineRule="auto"/>
        <w:ind w:left="1052" w:right="10"/>
      </w:pPr>
      <w:r>
        <w:t>Managing Director</w:t>
      </w:r>
      <w:r>
        <w:rPr>
          <w:spacing w:val="22"/>
        </w:rPr>
        <w:t xml:space="preserve"> </w:t>
      </w:r>
      <w:r>
        <w:t>&amp;</w:t>
      </w:r>
      <w:r>
        <w:rPr>
          <w:spacing w:val="14"/>
        </w:rPr>
        <w:t xml:space="preserve"> </w:t>
      </w:r>
      <w:r>
        <w:t>CEO</w:t>
      </w:r>
      <w:r>
        <w:tab/>
      </w:r>
      <w:r>
        <w:rPr>
          <w:spacing w:val="-3"/>
        </w:rPr>
        <w:t xml:space="preserve">Chairman </w:t>
      </w:r>
    </w:p>
    <w:p w14:paraId="2AA4646C" w14:textId="77777777" w:rsidR="00A06574" w:rsidRDefault="00A06574" w:rsidP="00A06574">
      <w:pPr>
        <w:pStyle w:val="BodyText"/>
        <w:tabs>
          <w:tab w:val="left" w:pos="4531"/>
        </w:tabs>
        <w:spacing w:before="2"/>
        <w:ind w:left="1052" w:right="10"/>
      </w:pPr>
      <w:r>
        <w:t>Chief</w:t>
      </w:r>
      <w:r>
        <w:rPr>
          <w:spacing w:val="16"/>
        </w:rPr>
        <w:t xml:space="preserve"> </w:t>
      </w:r>
      <w:r>
        <w:t>Financial</w:t>
      </w:r>
      <w:r>
        <w:rPr>
          <w:spacing w:val="11"/>
        </w:rPr>
        <w:t xml:space="preserve"> </w:t>
      </w:r>
      <w:r>
        <w:t>Officer</w:t>
      </w:r>
      <w:r>
        <w:tab/>
        <w:t>Member</w:t>
      </w:r>
    </w:p>
    <w:p w14:paraId="7FAD5E32" w14:textId="77777777" w:rsidR="00A06574" w:rsidRDefault="00A06574" w:rsidP="00A06574">
      <w:pPr>
        <w:pStyle w:val="BodyText"/>
        <w:tabs>
          <w:tab w:val="left" w:pos="4531"/>
        </w:tabs>
        <w:spacing w:before="6"/>
        <w:ind w:left="1052" w:right="10"/>
      </w:pPr>
      <w:r>
        <w:t>Head –</w:t>
      </w:r>
      <w:r>
        <w:rPr>
          <w:spacing w:val="21"/>
        </w:rPr>
        <w:t xml:space="preserve"> </w:t>
      </w:r>
      <w:r>
        <w:t>Risk</w:t>
      </w:r>
      <w:r>
        <w:rPr>
          <w:spacing w:val="14"/>
        </w:rPr>
        <w:t xml:space="preserve"> </w:t>
      </w:r>
      <w:r>
        <w:t>Management</w:t>
      </w:r>
      <w:r>
        <w:tab/>
        <w:t>Member</w:t>
      </w:r>
    </w:p>
    <w:p w14:paraId="390391A3" w14:textId="77777777" w:rsidR="00A06574" w:rsidRDefault="00A06574" w:rsidP="00A06574">
      <w:pPr>
        <w:pStyle w:val="BodyText"/>
        <w:ind w:right="10"/>
        <w:rPr>
          <w:sz w:val="24"/>
        </w:rPr>
      </w:pPr>
    </w:p>
    <w:p w14:paraId="58F6DC3A" w14:textId="77777777" w:rsidR="00A06574" w:rsidRDefault="00A06574" w:rsidP="00A06574">
      <w:pPr>
        <w:pStyle w:val="BodyText"/>
        <w:tabs>
          <w:tab w:val="left" w:pos="8550"/>
        </w:tabs>
        <w:spacing w:before="138" w:line="266" w:lineRule="auto"/>
        <w:ind w:left="785" w:right="10"/>
        <w:jc w:val="both"/>
      </w:pPr>
      <w:r>
        <w:t>Delegated power of the committee shall be Rs.3000 Cr or such amount as decided by the Financial Resource Management Committee from time to time.</w:t>
      </w:r>
    </w:p>
    <w:p w14:paraId="7056A28D" w14:textId="77777777" w:rsidR="00EC7FBF" w:rsidRDefault="00EC7FBF" w:rsidP="00A06574">
      <w:pPr>
        <w:pStyle w:val="BodyText"/>
        <w:tabs>
          <w:tab w:val="left" w:pos="8550"/>
        </w:tabs>
        <w:spacing w:before="138" w:line="266" w:lineRule="auto"/>
        <w:ind w:left="785" w:right="10"/>
        <w:jc w:val="both"/>
      </w:pPr>
    </w:p>
    <w:p w14:paraId="116B77E3" w14:textId="77777777" w:rsidR="00A06574" w:rsidRDefault="00A06574" w:rsidP="00A06574">
      <w:pPr>
        <w:pStyle w:val="BodyText"/>
        <w:spacing w:before="6"/>
        <w:ind w:left="900" w:right="10" w:hanging="540"/>
        <w:jc w:val="both"/>
      </w:pPr>
    </w:p>
    <w:p w14:paraId="38694F65" w14:textId="5AF30DF6" w:rsidR="00A06574" w:rsidRDefault="00A06574" w:rsidP="00A06574">
      <w:pPr>
        <w:pStyle w:val="Heading1"/>
        <w:numPr>
          <w:ilvl w:val="0"/>
          <w:numId w:val="9"/>
        </w:numPr>
        <w:tabs>
          <w:tab w:val="left" w:pos="447"/>
        </w:tabs>
        <w:ind w:right="10"/>
        <w:jc w:val="left"/>
      </w:pPr>
      <w:bookmarkStart w:id="11" w:name="_TOC_250004"/>
      <w:r>
        <w:t>Investment Restrictions and Prohibited</w:t>
      </w:r>
      <w:r>
        <w:rPr>
          <w:spacing w:val="6"/>
        </w:rPr>
        <w:t xml:space="preserve"> </w:t>
      </w:r>
      <w:bookmarkEnd w:id="11"/>
      <w:r w:rsidR="00C74CF5">
        <w:t>Transactions</w:t>
      </w:r>
    </w:p>
    <w:p w14:paraId="3B17A8CA" w14:textId="77777777" w:rsidR="00A06574" w:rsidRPr="00CD0F30" w:rsidRDefault="00A06574" w:rsidP="00A06574">
      <w:pPr>
        <w:pStyle w:val="BodyText"/>
        <w:spacing w:before="5"/>
        <w:ind w:right="10"/>
        <w:rPr>
          <w:b/>
          <w:sz w:val="20"/>
        </w:rPr>
      </w:pPr>
    </w:p>
    <w:p w14:paraId="15B311B8" w14:textId="77777777" w:rsidR="00A06574" w:rsidRDefault="00A06574" w:rsidP="00A06574">
      <w:pPr>
        <w:pStyle w:val="BodyText"/>
        <w:spacing w:line="283" w:lineRule="auto"/>
        <w:ind w:left="447" w:right="10"/>
        <w:jc w:val="both"/>
      </w:pPr>
      <w:r>
        <w:t xml:space="preserve">To provide for the safety and liquidity of MAFIL’s funds, investment in any instrument, which is commonly considered a "derivative" investment (e.g. options, futures, swaps, caps, floors, </w:t>
      </w:r>
      <w:r>
        <w:lastRenderedPageBreak/>
        <w:t>and collars), is prohibited.</w:t>
      </w:r>
    </w:p>
    <w:p w14:paraId="59F7F8B7" w14:textId="77777777" w:rsidR="007471DF" w:rsidRDefault="007471DF" w:rsidP="00A06574">
      <w:pPr>
        <w:pStyle w:val="BodyText"/>
        <w:ind w:right="10"/>
        <w:rPr>
          <w:sz w:val="20"/>
        </w:rPr>
      </w:pPr>
    </w:p>
    <w:p w14:paraId="3362172B" w14:textId="77777777" w:rsidR="007471DF" w:rsidRDefault="007471DF" w:rsidP="00A06574">
      <w:pPr>
        <w:pStyle w:val="BodyText"/>
        <w:ind w:right="10"/>
        <w:rPr>
          <w:sz w:val="20"/>
        </w:rPr>
      </w:pPr>
    </w:p>
    <w:p w14:paraId="643C1E6E" w14:textId="77777777" w:rsidR="007471DF" w:rsidRDefault="007471DF" w:rsidP="00A06574">
      <w:pPr>
        <w:pStyle w:val="BodyText"/>
        <w:ind w:right="10"/>
        <w:rPr>
          <w:sz w:val="20"/>
        </w:rPr>
      </w:pPr>
    </w:p>
    <w:p w14:paraId="380266CD" w14:textId="676DC4A2" w:rsidR="007471DF" w:rsidRDefault="007471DF" w:rsidP="00A06574">
      <w:pPr>
        <w:pStyle w:val="BodyText"/>
        <w:ind w:right="10"/>
        <w:rPr>
          <w:sz w:val="20"/>
        </w:rPr>
      </w:pPr>
    </w:p>
    <w:p w14:paraId="791D7A61" w14:textId="5D4CD1E6" w:rsidR="00921EEC" w:rsidRDefault="00921EEC" w:rsidP="00A06574">
      <w:pPr>
        <w:pStyle w:val="BodyText"/>
        <w:ind w:right="10"/>
        <w:rPr>
          <w:sz w:val="20"/>
        </w:rPr>
      </w:pPr>
    </w:p>
    <w:p w14:paraId="671D43F0" w14:textId="77777777" w:rsidR="00921EEC" w:rsidRDefault="00921EEC" w:rsidP="00A06574">
      <w:pPr>
        <w:pStyle w:val="BodyText"/>
        <w:ind w:right="10"/>
        <w:rPr>
          <w:sz w:val="20"/>
        </w:rPr>
      </w:pPr>
    </w:p>
    <w:p w14:paraId="01AC98E5" w14:textId="77777777" w:rsidR="006E34E6" w:rsidRDefault="006E34E6" w:rsidP="00A06574">
      <w:pPr>
        <w:pStyle w:val="BodyText"/>
        <w:ind w:right="10"/>
        <w:rPr>
          <w:sz w:val="20"/>
        </w:rPr>
      </w:pPr>
    </w:p>
    <w:p w14:paraId="11BB8C80" w14:textId="42BF17D7" w:rsidR="00A06574" w:rsidRDefault="00A06574" w:rsidP="00A06574">
      <w:pPr>
        <w:pStyle w:val="BodyText"/>
        <w:ind w:right="10"/>
        <w:rPr>
          <w:sz w:val="20"/>
        </w:rPr>
      </w:pPr>
      <w:r>
        <w:rPr>
          <w:noProof/>
          <w:lang w:val="en-IN" w:eastAsia="en-IN" w:bidi="ar-SA"/>
        </w:rPr>
        <w:drawing>
          <wp:anchor distT="0" distB="0" distL="0" distR="0" simplePos="0" relativeHeight="251668480" behindDoc="0" locked="0" layoutInCell="1" allowOverlap="1" wp14:anchorId="5828E547" wp14:editId="33F0BFDE">
            <wp:simplePos x="0" y="0"/>
            <wp:positionH relativeFrom="page">
              <wp:posOffset>1095755</wp:posOffset>
            </wp:positionH>
            <wp:positionV relativeFrom="page">
              <wp:posOffset>303276</wp:posOffset>
            </wp:positionV>
            <wp:extent cx="1100327" cy="339851"/>
            <wp:effectExtent l="0" t="0" r="0" b="0"/>
            <wp:wrapNone/>
            <wp:docPr id="1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jpeg"/>
                    <pic:cNvPicPr/>
                  </pic:nvPicPr>
                  <pic:blipFill>
                    <a:blip r:embed="rId7" cstate="print"/>
                    <a:stretch>
                      <a:fillRect/>
                    </a:stretch>
                  </pic:blipFill>
                  <pic:spPr>
                    <a:xfrm>
                      <a:off x="0" y="0"/>
                      <a:ext cx="1100327" cy="339851"/>
                    </a:xfrm>
                    <a:prstGeom prst="rect">
                      <a:avLst/>
                    </a:prstGeom>
                  </pic:spPr>
                </pic:pic>
              </a:graphicData>
            </a:graphic>
          </wp:anchor>
        </w:drawing>
      </w:r>
    </w:p>
    <w:p w14:paraId="6309B701" w14:textId="77777777" w:rsidR="00A06574" w:rsidRDefault="00A06574" w:rsidP="00A06574">
      <w:pPr>
        <w:pStyle w:val="ListParagraph"/>
        <w:numPr>
          <w:ilvl w:val="0"/>
          <w:numId w:val="9"/>
        </w:numPr>
        <w:tabs>
          <w:tab w:val="left" w:pos="383"/>
        </w:tabs>
        <w:spacing w:before="95"/>
        <w:ind w:left="382" w:right="10" w:hanging="275"/>
        <w:jc w:val="left"/>
        <w:rPr>
          <w:sz w:val="24"/>
        </w:rPr>
      </w:pPr>
      <w:r>
        <w:rPr>
          <w:b/>
          <w:sz w:val="24"/>
        </w:rPr>
        <w:t>Compliance to regulations (</w:t>
      </w:r>
      <w:r>
        <w:rPr>
          <w:sz w:val="24"/>
        </w:rPr>
        <w:t>For regulations, please refer para</w:t>
      </w:r>
      <w:r>
        <w:rPr>
          <w:spacing w:val="31"/>
          <w:sz w:val="24"/>
        </w:rPr>
        <w:t xml:space="preserve"> </w:t>
      </w:r>
      <w:r>
        <w:rPr>
          <w:sz w:val="24"/>
        </w:rPr>
        <w:t>4)</w:t>
      </w:r>
    </w:p>
    <w:p w14:paraId="06BE9D86" w14:textId="77777777" w:rsidR="00A06574" w:rsidRDefault="00A06574" w:rsidP="00A06574">
      <w:pPr>
        <w:pStyle w:val="BodyText"/>
        <w:spacing w:before="3"/>
        <w:ind w:right="10"/>
        <w:rPr>
          <w:sz w:val="21"/>
        </w:rPr>
      </w:pPr>
    </w:p>
    <w:p w14:paraId="59ADD054" w14:textId="301ED156" w:rsidR="00A06574" w:rsidRDefault="00A06574" w:rsidP="0036341A">
      <w:pPr>
        <w:pStyle w:val="ListParagraph"/>
        <w:numPr>
          <w:ilvl w:val="1"/>
          <w:numId w:val="2"/>
        </w:numPr>
        <w:tabs>
          <w:tab w:val="left" w:pos="873"/>
        </w:tabs>
        <w:ind w:right="10" w:hanging="425"/>
        <w:jc w:val="both"/>
      </w:pPr>
      <w:r>
        <w:rPr>
          <w:b/>
        </w:rPr>
        <w:t xml:space="preserve">Transfer of Investments: </w:t>
      </w:r>
      <w:r>
        <w:t xml:space="preserve">MAFIL shall not make any </w:t>
      </w:r>
      <w:r>
        <w:rPr>
          <w:spacing w:val="-3"/>
        </w:rPr>
        <w:t xml:space="preserve">inter- </w:t>
      </w:r>
      <w:r>
        <w:t>class transfer of investments. If it becomes absolutely necessary, then s</w:t>
      </w:r>
      <w:r w:rsidR="004B1159">
        <w:t xml:space="preserve">uch transfers shall be effected </w:t>
      </w:r>
      <w:r>
        <w:t>at the beginning of the half year on 1</w:t>
      </w:r>
      <w:r>
        <w:rPr>
          <w:position w:val="7"/>
        </w:rPr>
        <w:t xml:space="preserve">st </w:t>
      </w:r>
      <w:r>
        <w:t>April or 1</w:t>
      </w:r>
      <w:r>
        <w:rPr>
          <w:position w:val="7"/>
        </w:rPr>
        <w:t>st</w:t>
      </w:r>
      <w:r>
        <w:t>. October with the approval of the</w:t>
      </w:r>
      <w:r>
        <w:rPr>
          <w:spacing w:val="8"/>
        </w:rPr>
        <w:t xml:space="preserve"> </w:t>
      </w:r>
      <w:r>
        <w:t>Board.</w:t>
      </w:r>
    </w:p>
    <w:p w14:paraId="7C1E1E9F" w14:textId="77777777" w:rsidR="00A06574" w:rsidRDefault="00A06574" w:rsidP="00A06574">
      <w:pPr>
        <w:pStyle w:val="ListParagraph"/>
        <w:numPr>
          <w:ilvl w:val="1"/>
          <w:numId w:val="2"/>
        </w:numPr>
        <w:tabs>
          <w:tab w:val="left" w:pos="873"/>
        </w:tabs>
        <w:spacing w:before="1" w:line="283" w:lineRule="auto"/>
        <w:ind w:right="10" w:hanging="425"/>
        <w:jc w:val="both"/>
      </w:pPr>
      <w:r>
        <w:rPr>
          <w:b/>
        </w:rPr>
        <w:t xml:space="preserve">Valuation: </w:t>
      </w:r>
      <w:r>
        <w:t>Valuation of the investments shall be strictly in accordance with the guidelines of the Reserve Bank of</w:t>
      </w:r>
      <w:r>
        <w:rPr>
          <w:spacing w:val="24"/>
        </w:rPr>
        <w:t xml:space="preserve"> </w:t>
      </w:r>
      <w:r>
        <w:t>India.</w:t>
      </w:r>
    </w:p>
    <w:p w14:paraId="2A89C07C" w14:textId="77777777" w:rsidR="00A06574" w:rsidRDefault="00A06574" w:rsidP="00A06574">
      <w:pPr>
        <w:pStyle w:val="ListParagraph"/>
        <w:numPr>
          <w:ilvl w:val="1"/>
          <w:numId w:val="2"/>
        </w:numPr>
        <w:tabs>
          <w:tab w:val="left" w:pos="873"/>
        </w:tabs>
        <w:spacing w:line="283" w:lineRule="auto"/>
        <w:ind w:right="10" w:hanging="425"/>
        <w:jc w:val="both"/>
      </w:pPr>
      <w:r>
        <w:rPr>
          <w:b/>
        </w:rPr>
        <w:t xml:space="preserve">Depreciation and Appreciation; </w:t>
      </w:r>
      <w:r>
        <w:t>Depreciation in value compared to market rates, if any, in any scrip shall be provided for fully and appreciation, if any, shall be fully ignored. The depreciation in one scrip shall not be set off against appreciation in another scrip even in respect of scrip of the same category or during inter class</w:t>
      </w:r>
      <w:r>
        <w:rPr>
          <w:spacing w:val="-24"/>
        </w:rPr>
        <w:t xml:space="preserve"> </w:t>
      </w:r>
      <w:r>
        <w:t>transfer.</w:t>
      </w:r>
    </w:p>
    <w:p w14:paraId="01AA1F4E" w14:textId="77777777" w:rsidR="00A06574" w:rsidRDefault="00A06574" w:rsidP="00A06574">
      <w:pPr>
        <w:pStyle w:val="ListParagraph"/>
        <w:numPr>
          <w:ilvl w:val="1"/>
          <w:numId w:val="2"/>
        </w:numPr>
        <w:tabs>
          <w:tab w:val="left" w:pos="873"/>
        </w:tabs>
        <w:spacing w:line="283" w:lineRule="auto"/>
        <w:ind w:right="10" w:hanging="425"/>
        <w:jc w:val="both"/>
      </w:pPr>
      <w:r>
        <w:rPr>
          <w:b/>
        </w:rPr>
        <w:t xml:space="preserve">Income Recognition and Asset Classification: </w:t>
      </w:r>
      <w:r>
        <w:t>RBI norms regarding Income Recognition and asset classification shall be strictly complied with for recognition of income and asset</w:t>
      </w:r>
      <w:r>
        <w:rPr>
          <w:spacing w:val="15"/>
        </w:rPr>
        <w:t xml:space="preserve"> </w:t>
      </w:r>
      <w:r>
        <w:t>classification.</w:t>
      </w:r>
    </w:p>
    <w:p w14:paraId="767FA709" w14:textId="77777777" w:rsidR="00A06574" w:rsidRDefault="00A06574" w:rsidP="00A06574">
      <w:pPr>
        <w:pStyle w:val="ListParagraph"/>
        <w:numPr>
          <w:ilvl w:val="1"/>
          <w:numId w:val="2"/>
        </w:numPr>
        <w:tabs>
          <w:tab w:val="left" w:pos="873"/>
        </w:tabs>
        <w:spacing w:line="285" w:lineRule="auto"/>
        <w:ind w:right="10" w:hanging="425"/>
        <w:jc w:val="both"/>
      </w:pPr>
      <w:r>
        <w:rPr>
          <w:b/>
        </w:rPr>
        <w:t xml:space="preserve">Risk Weight: </w:t>
      </w:r>
      <w:r>
        <w:t>The investments shall be assigned the Risk weight as per the directions of RBI for computing Capital</w:t>
      </w:r>
      <w:r>
        <w:rPr>
          <w:spacing w:val="10"/>
        </w:rPr>
        <w:t xml:space="preserve"> </w:t>
      </w:r>
      <w:r>
        <w:t>adequacy.</w:t>
      </w:r>
    </w:p>
    <w:p w14:paraId="1A37EADA" w14:textId="77777777" w:rsidR="00A06574" w:rsidRPr="00C01E9F" w:rsidRDefault="00A06574" w:rsidP="00A06574">
      <w:pPr>
        <w:pStyle w:val="BodyText"/>
        <w:spacing w:before="2"/>
        <w:ind w:right="10"/>
        <w:rPr>
          <w:sz w:val="14"/>
        </w:rPr>
      </w:pPr>
    </w:p>
    <w:p w14:paraId="6E395F78" w14:textId="77777777" w:rsidR="00A06574" w:rsidRDefault="00A06574" w:rsidP="00A06574">
      <w:pPr>
        <w:pStyle w:val="Heading1"/>
        <w:numPr>
          <w:ilvl w:val="0"/>
          <w:numId w:val="9"/>
        </w:numPr>
        <w:tabs>
          <w:tab w:val="left" w:pos="367"/>
        </w:tabs>
        <w:ind w:left="366" w:right="10" w:hanging="259"/>
        <w:jc w:val="left"/>
      </w:pPr>
      <w:r>
        <w:t>Standards of</w:t>
      </w:r>
      <w:r>
        <w:rPr>
          <w:spacing w:val="-2"/>
        </w:rPr>
        <w:t xml:space="preserve"> </w:t>
      </w:r>
      <w:r>
        <w:t>Care</w:t>
      </w:r>
    </w:p>
    <w:p w14:paraId="2A107A3A" w14:textId="77777777" w:rsidR="00A06574" w:rsidRPr="007471DF" w:rsidRDefault="00A06574" w:rsidP="00A06574">
      <w:pPr>
        <w:pStyle w:val="BodyText"/>
        <w:spacing w:before="10"/>
        <w:ind w:right="10"/>
        <w:rPr>
          <w:b/>
          <w:sz w:val="10"/>
        </w:rPr>
      </w:pPr>
    </w:p>
    <w:p w14:paraId="552DD1D2" w14:textId="77777777" w:rsidR="00A06574" w:rsidRDefault="00A06574" w:rsidP="00A06574">
      <w:pPr>
        <w:pStyle w:val="Heading2"/>
        <w:numPr>
          <w:ilvl w:val="1"/>
          <w:numId w:val="1"/>
        </w:numPr>
        <w:tabs>
          <w:tab w:val="left" w:pos="873"/>
        </w:tabs>
        <w:spacing w:before="1"/>
        <w:ind w:right="10"/>
        <w:jc w:val="both"/>
      </w:pPr>
      <w:r>
        <w:t>Prudence</w:t>
      </w:r>
    </w:p>
    <w:p w14:paraId="59D73B75" w14:textId="77777777" w:rsidR="00A06574" w:rsidRDefault="00A06574" w:rsidP="00A06574">
      <w:pPr>
        <w:pStyle w:val="BodyText"/>
        <w:spacing w:before="80" w:line="283" w:lineRule="auto"/>
        <w:ind w:left="872" w:right="10" w:firstLine="15"/>
        <w:jc w:val="both"/>
      </w:pPr>
      <w:r>
        <w:t>Investments shall be made with judgment and care, under circumstances then prevailing, which persons of prudence, discretion and intelligence exercise in the management of their own affairs, not for speculation, but for investment, considering the probable safety of capital as well as the probable income to be derived. MAFIL Recognizes that no investment is totally free from risk and that occasional measured losses are inevitable in a diversified portfolio and will be considered within the context of the overall portfolio's return, provided that adequate diversification has been implemented and that the sale of a security is in the best long-term interest of</w:t>
      </w:r>
      <w:r>
        <w:rPr>
          <w:spacing w:val="7"/>
        </w:rPr>
        <w:t xml:space="preserve"> </w:t>
      </w:r>
      <w:r>
        <w:t>MAFIL.</w:t>
      </w:r>
    </w:p>
    <w:p w14:paraId="3110CD00" w14:textId="77777777" w:rsidR="00A06574" w:rsidRDefault="00A06574" w:rsidP="00A06574">
      <w:pPr>
        <w:pStyle w:val="BodyText"/>
        <w:spacing w:before="186" w:line="283" w:lineRule="auto"/>
        <w:ind w:left="872" w:right="10" w:firstLine="15"/>
        <w:jc w:val="both"/>
      </w:pPr>
      <w:r>
        <w:t>Investment Officials acting in accordance with written procedures and this investment policy and exercising due diligence shall be relieved of personal liability for an individual security's credit risk or market price changes, provided deviations from expectations are reported in a timely fashion to the Board of</w:t>
      </w:r>
      <w:r>
        <w:rPr>
          <w:noProof/>
          <w:lang w:val="en-IN" w:eastAsia="en-IN" w:bidi="ar-SA"/>
        </w:rPr>
        <w:drawing>
          <wp:anchor distT="0" distB="0" distL="0" distR="0" simplePos="0" relativeHeight="251669504" behindDoc="0" locked="0" layoutInCell="1" allowOverlap="1" wp14:anchorId="35FD70C8" wp14:editId="56DC66EC">
            <wp:simplePos x="0" y="0"/>
            <wp:positionH relativeFrom="page">
              <wp:posOffset>1095755</wp:posOffset>
            </wp:positionH>
            <wp:positionV relativeFrom="page">
              <wp:posOffset>303276</wp:posOffset>
            </wp:positionV>
            <wp:extent cx="1100327" cy="339851"/>
            <wp:effectExtent l="0" t="0" r="0" b="0"/>
            <wp:wrapNone/>
            <wp:docPr id="2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jpeg"/>
                    <pic:cNvPicPr/>
                  </pic:nvPicPr>
                  <pic:blipFill>
                    <a:blip r:embed="rId7" cstate="print"/>
                    <a:stretch>
                      <a:fillRect/>
                    </a:stretch>
                  </pic:blipFill>
                  <pic:spPr>
                    <a:xfrm>
                      <a:off x="0" y="0"/>
                      <a:ext cx="1100327" cy="339851"/>
                    </a:xfrm>
                    <a:prstGeom prst="rect">
                      <a:avLst/>
                    </a:prstGeom>
                  </pic:spPr>
                </pic:pic>
              </a:graphicData>
            </a:graphic>
          </wp:anchor>
        </w:drawing>
      </w:r>
      <w:r>
        <w:t xml:space="preserve"> Directors and the liquidity and the sale of securities are carried out in accordance with the terms of this</w:t>
      </w:r>
      <w:r>
        <w:rPr>
          <w:spacing w:val="18"/>
        </w:rPr>
        <w:t xml:space="preserve"> </w:t>
      </w:r>
      <w:r>
        <w:t>policy.</w:t>
      </w:r>
    </w:p>
    <w:p w14:paraId="6C953624" w14:textId="77777777" w:rsidR="00A06574" w:rsidRDefault="00A06574" w:rsidP="00A06574">
      <w:pPr>
        <w:pStyle w:val="Heading2"/>
        <w:tabs>
          <w:tab w:val="left" w:pos="873"/>
        </w:tabs>
        <w:ind w:right="10" w:firstLine="0"/>
        <w:jc w:val="both"/>
      </w:pPr>
    </w:p>
    <w:p w14:paraId="334AE54F" w14:textId="49A39BF3" w:rsidR="00A06574" w:rsidRDefault="00A06574" w:rsidP="00A06574">
      <w:pPr>
        <w:pStyle w:val="Heading2"/>
        <w:numPr>
          <w:ilvl w:val="1"/>
          <w:numId w:val="1"/>
        </w:numPr>
        <w:tabs>
          <w:tab w:val="left" w:pos="873"/>
        </w:tabs>
        <w:ind w:right="10"/>
        <w:jc w:val="both"/>
      </w:pPr>
      <w:r>
        <w:lastRenderedPageBreak/>
        <w:t xml:space="preserve">Ethics &amp; Conflicts </w:t>
      </w:r>
      <w:r w:rsidR="004B1159">
        <w:t xml:space="preserve">of </w:t>
      </w:r>
      <w:r w:rsidR="004B1159">
        <w:rPr>
          <w:spacing w:val="1"/>
        </w:rPr>
        <w:t>Interest</w:t>
      </w:r>
    </w:p>
    <w:p w14:paraId="09DBB404" w14:textId="71422E3F" w:rsidR="00A06574" w:rsidRPr="00C01E9F" w:rsidRDefault="00A06574" w:rsidP="00A06574">
      <w:pPr>
        <w:pStyle w:val="BodyText"/>
        <w:spacing w:before="6" w:line="283" w:lineRule="auto"/>
        <w:ind w:left="872" w:right="10" w:firstLine="15"/>
        <w:jc w:val="both"/>
        <w:rPr>
          <w:sz w:val="6"/>
        </w:rPr>
      </w:pPr>
      <w:r>
        <w:t xml:space="preserve">Officers and employees involved in the investment process shall refrain from personal business activity that could conflict with the proper execution and management of the investment program, or that could impair their ability to make impartial decisions. </w:t>
      </w:r>
    </w:p>
    <w:p w14:paraId="4C95A4CA" w14:textId="22E5873C" w:rsidR="00A06574" w:rsidRDefault="00A06574" w:rsidP="00A06574">
      <w:pPr>
        <w:pStyle w:val="BodyText"/>
        <w:spacing w:before="6" w:line="283" w:lineRule="auto"/>
        <w:ind w:left="872" w:right="10" w:firstLine="15"/>
        <w:jc w:val="both"/>
      </w:pPr>
      <w:r>
        <w:t xml:space="preserve">Employees and investment officials shall disclose any material interests in financial institutions in which they conduct business. They shall further disclose any personal financial/investment positions that could be related to the performance of the </w:t>
      </w:r>
      <w:r w:rsidR="00DD1162">
        <w:t>investment portfolio. Employees</w:t>
      </w:r>
      <w:r>
        <w:t xml:space="preserve"> and officials shall refrain from undertaking personal investment transactions with the same individual or company with which business is conducted on behalf of</w:t>
      </w:r>
      <w:r>
        <w:rPr>
          <w:spacing w:val="5"/>
        </w:rPr>
        <w:t xml:space="preserve"> </w:t>
      </w:r>
      <w:r>
        <w:t>MAFIL.</w:t>
      </w:r>
    </w:p>
    <w:p w14:paraId="23DFC116" w14:textId="77777777" w:rsidR="00A06574" w:rsidRDefault="00A06574" w:rsidP="00A06574">
      <w:pPr>
        <w:pStyle w:val="Heading1"/>
        <w:numPr>
          <w:ilvl w:val="0"/>
          <w:numId w:val="9"/>
        </w:numPr>
        <w:tabs>
          <w:tab w:val="left" w:pos="534"/>
        </w:tabs>
        <w:spacing w:before="104"/>
        <w:ind w:left="533" w:right="10" w:hanging="426"/>
        <w:jc w:val="both"/>
      </w:pPr>
      <w:bookmarkStart w:id="12" w:name="_TOC_250003"/>
      <w:bookmarkEnd w:id="12"/>
      <w:r>
        <w:t>Board level oversight</w:t>
      </w:r>
    </w:p>
    <w:p w14:paraId="59FF2B74" w14:textId="1AA2DF5A" w:rsidR="00A06574" w:rsidRDefault="00A06574" w:rsidP="00A06574">
      <w:pPr>
        <w:pStyle w:val="BodyText"/>
        <w:spacing w:before="55" w:line="283" w:lineRule="auto"/>
        <w:ind w:left="533" w:right="10" w:firstLine="9"/>
        <w:jc w:val="both"/>
      </w:pPr>
      <w:r>
        <w:t>Financial Resource Management Committee (FRMC) of the Board shall review investment portfolio on a quarterly basis. FRMC may fix ceilings for investments and types of investments as per the business/regulatory</w:t>
      </w:r>
      <w:r>
        <w:rPr>
          <w:spacing w:val="53"/>
        </w:rPr>
        <w:t xml:space="preserve"> </w:t>
      </w:r>
      <w:r>
        <w:t>requirements.</w:t>
      </w:r>
    </w:p>
    <w:p w14:paraId="10ED3280" w14:textId="77777777" w:rsidR="000E63F5" w:rsidRPr="007471DF" w:rsidRDefault="000E63F5" w:rsidP="00A06574">
      <w:pPr>
        <w:pStyle w:val="BodyText"/>
        <w:spacing w:before="10"/>
        <w:ind w:right="10"/>
        <w:rPr>
          <w:sz w:val="12"/>
        </w:rPr>
      </w:pPr>
    </w:p>
    <w:p w14:paraId="76B71676" w14:textId="77777777" w:rsidR="00A06574" w:rsidRDefault="00A06574" w:rsidP="00A06574">
      <w:pPr>
        <w:pStyle w:val="Heading1"/>
        <w:numPr>
          <w:ilvl w:val="0"/>
          <w:numId w:val="9"/>
        </w:numPr>
        <w:tabs>
          <w:tab w:val="left" w:pos="534"/>
        </w:tabs>
        <w:ind w:left="533" w:right="10" w:hanging="426"/>
        <w:jc w:val="both"/>
      </w:pPr>
      <w:bookmarkStart w:id="13" w:name="_TOC_250002"/>
      <w:r>
        <w:t>Delegation of</w:t>
      </w:r>
      <w:r>
        <w:rPr>
          <w:spacing w:val="42"/>
        </w:rPr>
        <w:t xml:space="preserve"> </w:t>
      </w:r>
      <w:bookmarkEnd w:id="13"/>
      <w:r>
        <w:t>Authority</w:t>
      </w:r>
    </w:p>
    <w:p w14:paraId="68E5B562" w14:textId="77777777" w:rsidR="00A06574" w:rsidRDefault="00A06574" w:rsidP="00A06574">
      <w:pPr>
        <w:pStyle w:val="BodyText"/>
        <w:spacing w:before="10" w:line="283" w:lineRule="auto"/>
        <w:ind w:left="533" w:right="10"/>
        <w:jc w:val="both"/>
      </w:pPr>
      <w:r>
        <w:t xml:space="preserve">Authority to manage the investment program is granted to the Chief Financial Officer, who shall act in accordance with the established written procedures </w:t>
      </w:r>
      <w:r>
        <w:rPr>
          <w:spacing w:val="-2"/>
        </w:rPr>
        <w:t xml:space="preserve">and </w:t>
      </w:r>
      <w:r>
        <w:t xml:space="preserve">internal controls for the operation of the investment program consistent with this investment policy. No person may engage in an investment transaction except </w:t>
      </w:r>
      <w:r>
        <w:rPr>
          <w:spacing w:val="-3"/>
        </w:rPr>
        <w:t xml:space="preserve">as </w:t>
      </w:r>
      <w:r>
        <w:t>provided under the terms of this policy and the procedures established by the Chief Financial Officer. The Chief Financial Officer shall be responsible for all transactions undertaken and shall establish a system of controls to regulate the activities of subordinate</w:t>
      </w:r>
      <w:r>
        <w:rPr>
          <w:spacing w:val="11"/>
        </w:rPr>
        <w:t xml:space="preserve"> </w:t>
      </w:r>
      <w:r>
        <w:t>officials.</w:t>
      </w:r>
    </w:p>
    <w:p w14:paraId="4F6C6F01" w14:textId="77777777" w:rsidR="00A06574" w:rsidRPr="007471DF" w:rsidRDefault="00A06574" w:rsidP="00A06574">
      <w:pPr>
        <w:pStyle w:val="BodyText"/>
        <w:ind w:right="10"/>
        <w:rPr>
          <w:sz w:val="2"/>
        </w:rPr>
      </w:pPr>
    </w:p>
    <w:p w14:paraId="0DEB639D" w14:textId="77777777" w:rsidR="00A06574" w:rsidRDefault="00A06574" w:rsidP="00A06574">
      <w:pPr>
        <w:pStyle w:val="Heading1"/>
        <w:numPr>
          <w:ilvl w:val="0"/>
          <w:numId w:val="9"/>
        </w:numPr>
        <w:tabs>
          <w:tab w:val="left" w:pos="534"/>
        </w:tabs>
        <w:spacing w:before="168"/>
        <w:ind w:left="533" w:right="10" w:hanging="426"/>
        <w:jc w:val="both"/>
      </w:pPr>
      <w:bookmarkStart w:id="14" w:name="_TOC_250001"/>
      <w:r>
        <w:t>Checks &amp;</w:t>
      </w:r>
      <w:r>
        <w:rPr>
          <w:spacing w:val="5"/>
        </w:rPr>
        <w:t xml:space="preserve"> </w:t>
      </w:r>
      <w:bookmarkEnd w:id="14"/>
      <w:r>
        <w:t>Balances</w:t>
      </w:r>
    </w:p>
    <w:p w14:paraId="1A59473E" w14:textId="77777777" w:rsidR="00A06574" w:rsidRDefault="00A06574" w:rsidP="00A06574">
      <w:pPr>
        <w:pStyle w:val="BodyText"/>
        <w:spacing w:before="84" w:line="283" w:lineRule="auto"/>
        <w:ind w:left="533" w:right="10"/>
        <w:jc w:val="both"/>
      </w:pPr>
      <w:r>
        <w:t xml:space="preserve">The following guidelines have been established to enhance the integrity and transparency of MAFIL's internal procedures for investing MAFIL's funds and accounting for those investments. The Chief Financial Officer, General Manager (Treasury) and other persons designated in writing to act as Investment Officers will be authorized to transact investment business on behalf of MAFIL. All trade confirmations will be sent directly to a designated officer where transaction details will be compared and verified against internal records. The designated officer shall </w:t>
      </w:r>
      <w:r>
        <w:rPr>
          <w:noProof/>
          <w:lang w:val="en-IN" w:eastAsia="en-IN" w:bidi="ar-SA"/>
        </w:rPr>
        <w:drawing>
          <wp:anchor distT="0" distB="0" distL="0" distR="0" simplePos="0" relativeHeight="251670528" behindDoc="0" locked="0" layoutInCell="1" allowOverlap="1" wp14:anchorId="60654366" wp14:editId="27D78DD4">
            <wp:simplePos x="0" y="0"/>
            <wp:positionH relativeFrom="page">
              <wp:posOffset>1095755</wp:posOffset>
            </wp:positionH>
            <wp:positionV relativeFrom="page">
              <wp:posOffset>303276</wp:posOffset>
            </wp:positionV>
            <wp:extent cx="1100327" cy="339851"/>
            <wp:effectExtent l="0" t="0" r="0" b="0"/>
            <wp:wrapNone/>
            <wp:docPr id="2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jpeg"/>
                    <pic:cNvPicPr/>
                  </pic:nvPicPr>
                  <pic:blipFill>
                    <a:blip r:embed="rId7" cstate="print"/>
                    <a:stretch>
                      <a:fillRect/>
                    </a:stretch>
                  </pic:blipFill>
                  <pic:spPr>
                    <a:xfrm>
                      <a:off x="0" y="0"/>
                      <a:ext cx="1100327" cy="339851"/>
                    </a:xfrm>
                    <a:prstGeom prst="rect">
                      <a:avLst/>
                    </a:prstGeom>
                  </pic:spPr>
                </pic:pic>
              </a:graphicData>
            </a:graphic>
          </wp:anchor>
        </w:drawing>
      </w:r>
      <w:r>
        <w:t>review all investment transactions subsequent to execution by the Chief Financial Officer or other person designated as investment officer. All journal entries will be signed by a senior officer not conducting the transaction and entered into the general ledger by one of MAFIL’s posting officers. The Chief Financial Officer and other officers authorized to transact investment business on behalf of MAFIL are expressly prohibited from posting transactions regarding investments into MAFIL's general ledger.</w:t>
      </w:r>
    </w:p>
    <w:p w14:paraId="3888FD57" w14:textId="77777777" w:rsidR="00C01E9F" w:rsidRPr="00C01E9F" w:rsidRDefault="00A06574" w:rsidP="00A06574">
      <w:pPr>
        <w:pStyle w:val="ListParagraph"/>
        <w:numPr>
          <w:ilvl w:val="0"/>
          <w:numId w:val="9"/>
        </w:numPr>
        <w:tabs>
          <w:tab w:val="left" w:pos="534"/>
        </w:tabs>
        <w:spacing w:before="105" w:line="283" w:lineRule="auto"/>
        <w:ind w:left="533" w:right="10" w:hanging="425"/>
        <w:jc w:val="both"/>
      </w:pPr>
      <w:r>
        <w:rPr>
          <w:b/>
          <w:sz w:val="24"/>
        </w:rPr>
        <w:t xml:space="preserve">Custody of Scrip: </w:t>
      </w:r>
    </w:p>
    <w:p w14:paraId="6E0EDAC1" w14:textId="2D39E3EC" w:rsidR="00A06574" w:rsidRDefault="00A06574" w:rsidP="00C01E9F">
      <w:pPr>
        <w:pStyle w:val="ListParagraph"/>
        <w:tabs>
          <w:tab w:val="left" w:pos="534"/>
        </w:tabs>
        <w:spacing w:before="105" w:line="283" w:lineRule="auto"/>
        <w:ind w:left="533" w:right="10" w:firstLine="7"/>
        <w:jc w:val="both"/>
      </w:pPr>
      <w:r>
        <w:t xml:space="preserve">The scrips relating to the investment will be kept in the custody of Responsible official in the Treasury dept, who will also be responsible for the collection of interest/ dividend, if any, periodically. Renewal of the investments will be treated as a fresh investment and </w:t>
      </w:r>
      <w:r>
        <w:lastRenderedPageBreak/>
        <w:t>dealt with</w:t>
      </w:r>
      <w:r>
        <w:rPr>
          <w:spacing w:val="28"/>
        </w:rPr>
        <w:t xml:space="preserve"> </w:t>
      </w:r>
      <w:r>
        <w:t>accordingly.</w:t>
      </w:r>
    </w:p>
    <w:p w14:paraId="4AEB1805" w14:textId="77777777" w:rsidR="00A06574" w:rsidRDefault="00A06574" w:rsidP="00A06574">
      <w:pPr>
        <w:pStyle w:val="Heading1"/>
        <w:numPr>
          <w:ilvl w:val="0"/>
          <w:numId w:val="9"/>
        </w:numPr>
        <w:tabs>
          <w:tab w:val="left" w:pos="534"/>
        </w:tabs>
        <w:spacing w:before="185"/>
        <w:ind w:left="533" w:right="10" w:hanging="418"/>
        <w:jc w:val="both"/>
      </w:pPr>
      <w:bookmarkStart w:id="15" w:name="_TOC_250000"/>
      <w:r>
        <w:t>Performance Review &amp;</w:t>
      </w:r>
      <w:r>
        <w:rPr>
          <w:spacing w:val="9"/>
        </w:rPr>
        <w:t xml:space="preserve"> </w:t>
      </w:r>
      <w:bookmarkEnd w:id="15"/>
      <w:r>
        <w:t>Reporting</w:t>
      </w:r>
    </w:p>
    <w:p w14:paraId="42284887" w14:textId="650D9689" w:rsidR="008341A2" w:rsidRDefault="00A06574" w:rsidP="00813B9E">
      <w:pPr>
        <w:pStyle w:val="BodyText"/>
        <w:spacing w:before="10" w:line="283" w:lineRule="auto"/>
        <w:ind w:left="533" w:right="10"/>
        <w:jc w:val="both"/>
      </w:pPr>
      <w:r>
        <w:t>The CFO (Chief Financial Officer) will periodically establish a benchmark yield for MAFIL’s investments, and will set targets for portfolio growth and diversification. Investments held at the end of each quarter will be disclosed in quarterly balance sheets being put up for board’s consideration.</w:t>
      </w:r>
    </w:p>
    <w:sectPr w:rsidR="008341A2">
      <w:footerReference w:type="default" r:id="rId10"/>
      <w:pgSz w:w="12240" w:h="15840"/>
      <w:pgMar w:top="1220" w:right="1360" w:bottom="2120" w:left="1600" w:header="451" w:footer="192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03F871" w14:textId="77777777" w:rsidR="009F25AA" w:rsidRDefault="009F25AA">
      <w:r>
        <w:separator/>
      </w:r>
    </w:p>
  </w:endnote>
  <w:endnote w:type="continuationSeparator" w:id="0">
    <w:p w14:paraId="74F5EC6C" w14:textId="77777777" w:rsidR="009F25AA" w:rsidRDefault="009F2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801EEB" w14:textId="77777777" w:rsidR="008341A2" w:rsidRDefault="000E63F5">
    <w:pPr>
      <w:pStyle w:val="BodyText"/>
      <w:spacing w:line="14" w:lineRule="auto"/>
      <w:rPr>
        <w:sz w:val="20"/>
      </w:rPr>
    </w:pPr>
    <w:r>
      <w:rPr>
        <w:noProof/>
        <w:lang w:val="en-IN" w:eastAsia="en-IN" w:bidi="ar-SA"/>
      </w:rPr>
      <mc:AlternateContent>
        <mc:Choice Requires="wps">
          <w:drawing>
            <wp:anchor distT="0" distB="0" distL="114300" distR="114300" simplePos="0" relativeHeight="251661312" behindDoc="1" locked="0" layoutInCell="1" allowOverlap="1" wp14:anchorId="76C122C3" wp14:editId="6A5F9A88">
              <wp:simplePos x="0" y="0"/>
              <wp:positionH relativeFrom="page">
                <wp:posOffset>1055370</wp:posOffset>
              </wp:positionH>
              <wp:positionV relativeFrom="page">
                <wp:posOffset>8679180</wp:posOffset>
              </wp:positionV>
              <wp:extent cx="3029585" cy="147955"/>
              <wp:effectExtent l="0" t="0" r="0" b="0"/>
              <wp:wrapNone/>
              <wp:docPr id="1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958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2A8CC4" w14:textId="4BDDD091" w:rsidR="008341A2" w:rsidRDefault="000E63F5">
                          <w:pPr>
                            <w:tabs>
                              <w:tab w:val="left" w:pos="4750"/>
                            </w:tabs>
                            <w:spacing w:before="8"/>
                            <w:ind w:left="20"/>
                            <w:rPr>
                              <w:rFonts w:ascii="Calibri"/>
                              <w:b/>
                              <w:sz w:val="17"/>
                            </w:rPr>
                          </w:pPr>
                          <w:r>
                            <w:rPr>
                              <w:rFonts w:ascii="Times New Roman"/>
                              <w:color w:val="FFFFFF"/>
                              <w:spacing w:val="-16"/>
                              <w:w w:val="99"/>
                              <w:sz w:val="17"/>
                              <w:shd w:val="clear" w:color="auto" w:fill="ED1313"/>
                            </w:rPr>
                            <w:t xml:space="preserve"> </w:t>
                          </w:r>
                          <w:r>
                            <w:rPr>
                              <w:rFonts w:ascii="Calibri"/>
                              <w:b/>
                              <w:color w:val="FFFFFF"/>
                              <w:sz w:val="17"/>
                              <w:shd w:val="clear" w:color="auto" w:fill="ED1313"/>
                            </w:rPr>
                            <w:t xml:space="preserve">Page </w:t>
                          </w:r>
                          <w:r>
                            <w:fldChar w:fldCharType="begin"/>
                          </w:r>
                          <w:r>
                            <w:rPr>
                              <w:rFonts w:ascii="Calibri"/>
                              <w:b/>
                              <w:color w:val="FFFFFF"/>
                              <w:sz w:val="17"/>
                              <w:shd w:val="clear" w:color="auto" w:fill="ED1313"/>
                            </w:rPr>
                            <w:instrText xml:space="preserve"> PAGE </w:instrText>
                          </w:r>
                          <w:r>
                            <w:fldChar w:fldCharType="separate"/>
                          </w:r>
                          <w:r w:rsidR="006F0671">
                            <w:rPr>
                              <w:rFonts w:ascii="Calibri"/>
                              <w:b/>
                              <w:noProof/>
                              <w:color w:val="FFFFFF"/>
                              <w:sz w:val="17"/>
                              <w:shd w:val="clear" w:color="auto" w:fill="ED1313"/>
                            </w:rPr>
                            <w:t>1</w:t>
                          </w:r>
                          <w:r>
                            <w:fldChar w:fldCharType="end"/>
                          </w:r>
                          <w:r>
                            <w:rPr>
                              <w:rFonts w:ascii="Calibri"/>
                              <w:b/>
                              <w:color w:val="FFFFFF"/>
                              <w:sz w:val="17"/>
                              <w:shd w:val="clear" w:color="auto" w:fill="ED1313"/>
                            </w:rPr>
                            <w:t xml:space="preserve"> of</w:t>
                          </w:r>
                          <w:r>
                            <w:rPr>
                              <w:rFonts w:ascii="Calibri"/>
                              <w:b/>
                              <w:color w:val="FFFFFF"/>
                              <w:spacing w:val="-7"/>
                              <w:sz w:val="17"/>
                              <w:shd w:val="clear" w:color="auto" w:fill="ED1313"/>
                            </w:rPr>
                            <w:t xml:space="preserve"> </w:t>
                          </w:r>
                          <w:r>
                            <w:rPr>
                              <w:rFonts w:ascii="Calibri"/>
                              <w:b/>
                              <w:color w:val="FFFFFF"/>
                              <w:sz w:val="17"/>
                              <w:shd w:val="clear" w:color="auto" w:fill="ED1313"/>
                            </w:rPr>
                            <w:t>1</w:t>
                          </w:r>
                          <w:r w:rsidR="008D379E">
                            <w:rPr>
                              <w:rFonts w:ascii="Calibri"/>
                              <w:b/>
                              <w:color w:val="FFFFFF"/>
                              <w:sz w:val="17"/>
                              <w:shd w:val="clear" w:color="auto" w:fill="ED1313"/>
                            </w:rPr>
                            <w:t>1</w:t>
                          </w:r>
                          <w:r>
                            <w:rPr>
                              <w:rFonts w:ascii="Calibri"/>
                              <w:b/>
                              <w:color w:val="FFFFFF"/>
                              <w:sz w:val="17"/>
                              <w:shd w:val="clear" w:color="auto" w:fill="ED1313"/>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C122C3" id="_x0000_t202" coordsize="21600,21600" o:spt="202" path="m,l,21600r21600,l21600,xe">
              <v:stroke joinstyle="miter"/>
              <v:path gradientshapeok="t" o:connecttype="rect"/>
            </v:shapetype>
            <v:shape id="Text Box 6" o:spid="_x0000_s1027" type="#_x0000_t202" style="position:absolute;margin-left:83.1pt;margin-top:683.4pt;width:238.55pt;height:11.6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ubrsAIAALE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" filled="f" stroked="f">
              <v:textbox inset="0,0,0,0">
                <w:txbxContent>
                  <w:p w14:paraId="622A8CC4" w14:textId="4BDDD091" w:rsidR="008341A2" w:rsidRDefault="000E63F5">
                    <w:pPr>
                      <w:tabs>
                        <w:tab w:val="left" w:pos="4750"/>
                      </w:tabs>
                      <w:spacing w:before="8"/>
                      <w:ind w:left="20"/>
                      <w:rPr>
                        <w:rFonts w:ascii="Calibri"/>
                        <w:b/>
                        <w:sz w:val="17"/>
                      </w:rPr>
                    </w:pPr>
                    <w:r>
                      <w:rPr>
                        <w:rFonts w:ascii="Times New Roman"/>
                        <w:color w:val="FFFFFF"/>
                        <w:spacing w:val="-16"/>
                        <w:w w:val="99"/>
                        <w:sz w:val="17"/>
                        <w:shd w:val="clear" w:color="auto" w:fill="ED1313"/>
                      </w:rPr>
                      <w:t xml:space="preserve"> </w:t>
                    </w:r>
                    <w:r>
                      <w:rPr>
                        <w:rFonts w:ascii="Calibri"/>
                        <w:b/>
                        <w:color w:val="FFFFFF"/>
                        <w:sz w:val="17"/>
                        <w:shd w:val="clear" w:color="auto" w:fill="ED1313"/>
                      </w:rPr>
                      <w:t xml:space="preserve">Page </w:t>
                    </w:r>
                    <w:r>
                      <w:fldChar w:fldCharType="begin"/>
                    </w:r>
                    <w:r>
                      <w:rPr>
                        <w:rFonts w:ascii="Calibri"/>
                        <w:b/>
                        <w:color w:val="FFFFFF"/>
                        <w:sz w:val="17"/>
                        <w:shd w:val="clear" w:color="auto" w:fill="ED1313"/>
                      </w:rPr>
                      <w:instrText xml:space="preserve"> PAGE </w:instrText>
                    </w:r>
                    <w:r>
                      <w:fldChar w:fldCharType="separate"/>
                    </w:r>
                    <w:r w:rsidR="006F0671">
                      <w:rPr>
                        <w:rFonts w:ascii="Calibri"/>
                        <w:b/>
                        <w:noProof/>
                        <w:color w:val="FFFFFF"/>
                        <w:sz w:val="17"/>
                        <w:shd w:val="clear" w:color="auto" w:fill="ED1313"/>
                      </w:rPr>
                      <w:t>1</w:t>
                    </w:r>
                    <w:r>
                      <w:fldChar w:fldCharType="end"/>
                    </w:r>
                    <w:r>
                      <w:rPr>
                        <w:rFonts w:ascii="Calibri"/>
                        <w:b/>
                        <w:color w:val="FFFFFF"/>
                        <w:sz w:val="17"/>
                        <w:shd w:val="clear" w:color="auto" w:fill="ED1313"/>
                      </w:rPr>
                      <w:t xml:space="preserve"> of</w:t>
                    </w:r>
                    <w:r>
                      <w:rPr>
                        <w:rFonts w:ascii="Calibri"/>
                        <w:b/>
                        <w:color w:val="FFFFFF"/>
                        <w:spacing w:val="-7"/>
                        <w:sz w:val="17"/>
                        <w:shd w:val="clear" w:color="auto" w:fill="ED1313"/>
                      </w:rPr>
                      <w:t xml:space="preserve"> </w:t>
                    </w:r>
                    <w:r>
                      <w:rPr>
                        <w:rFonts w:ascii="Calibri"/>
                        <w:b/>
                        <w:color w:val="FFFFFF"/>
                        <w:sz w:val="17"/>
                        <w:shd w:val="clear" w:color="auto" w:fill="ED1313"/>
                      </w:rPr>
                      <w:t>1</w:t>
                    </w:r>
                    <w:r w:rsidR="008D379E">
                      <w:rPr>
                        <w:rFonts w:ascii="Calibri"/>
                        <w:b/>
                        <w:color w:val="FFFFFF"/>
                        <w:sz w:val="17"/>
                        <w:shd w:val="clear" w:color="auto" w:fill="ED1313"/>
                      </w:rPr>
                      <w:t>1</w:t>
                    </w:r>
                    <w:r>
                      <w:rPr>
                        <w:rFonts w:ascii="Calibri"/>
                        <w:b/>
                        <w:color w:val="FFFFFF"/>
                        <w:sz w:val="17"/>
                        <w:shd w:val="clear" w:color="auto" w:fill="ED1313"/>
                      </w:rPr>
                      <w:tab/>
                    </w:r>
                  </w:p>
                </w:txbxContent>
              </v:textbox>
              <w10:wrap anchorx="page" anchory="page"/>
            </v:shape>
          </w:pict>
        </mc:Fallback>
      </mc:AlternateContent>
    </w:r>
    <w:r>
      <w:rPr>
        <w:noProof/>
        <w:lang w:val="en-IN" w:eastAsia="en-IN" w:bidi="ar-SA"/>
      </w:rPr>
      <mc:AlternateContent>
        <mc:Choice Requires="wps">
          <w:drawing>
            <wp:anchor distT="0" distB="0" distL="114300" distR="114300" simplePos="0" relativeHeight="251662336" behindDoc="1" locked="0" layoutInCell="1" allowOverlap="1" wp14:anchorId="70B851CF" wp14:editId="6A275C72">
              <wp:simplePos x="0" y="0"/>
              <wp:positionH relativeFrom="page">
                <wp:posOffset>4794250</wp:posOffset>
              </wp:positionH>
              <wp:positionV relativeFrom="page">
                <wp:posOffset>8702040</wp:posOffset>
              </wp:positionV>
              <wp:extent cx="1631315" cy="262255"/>
              <wp:effectExtent l="0" t="0" r="0" b="0"/>
              <wp:wrapNone/>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1315" cy="262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CC688F" w14:textId="77777777" w:rsidR="008341A2" w:rsidRDefault="000E63F5">
                          <w:pPr>
                            <w:spacing w:line="191" w:lineRule="exact"/>
                            <w:ind w:right="21"/>
                            <w:jc w:val="right"/>
                            <w:rPr>
                              <w:rFonts w:ascii="Calibri Light"/>
                              <w:sz w:val="17"/>
                            </w:rPr>
                          </w:pPr>
                          <w:r>
                            <w:rPr>
                              <w:rFonts w:ascii="Calibri Light"/>
                              <w:color w:val="595959"/>
                              <w:sz w:val="17"/>
                            </w:rPr>
                            <w:t>Document</w:t>
                          </w:r>
                          <w:r>
                            <w:rPr>
                              <w:rFonts w:ascii="Calibri Light"/>
                              <w:color w:val="595959"/>
                              <w:spacing w:val="-21"/>
                              <w:sz w:val="17"/>
                            </w:rPr>
                            <w:t xml:space="preserve"> </w:t>
                          </w:r>
                          <w:r>
                            <w:rPr>
                              <w:rFonts w:ascii="Calibri Light"/>
                              <w:color w:val="595959"/>
                              <w:sz w:val="17"/>
                            </w:rPr>
                            <w:t>Classification:</w:t>
                          </w:r>
                          <w:r>
                            <w:rPr>
                              <w:rFonts w:ascii="Calibri Light"/>
                              <w:color w:val="595959"/>
                              <w:spacing w:val="-18"/>
                              <w:sz w:val="17"/>
                            </w:rPr>
                            <w:t xml:space="preserve"> </w:t>
                          </w:r>
                          <w:r>
                            <w:rPr>
                              <w:rFonts w:ascii="Calibri Light"/>
                              <w:color w:val="595959"/>
                              <w:sz w:val="17"/>
                            </w:rPr>
                            <w:t>Confidential</w:t>
                          </w:r>
                        </w:p>
                        <w:p w14:paraId="66D410D6" w14:textId="77777777" w:rsidR="008341A2" w:rsidRDefault="000E63F5">
                          <w:pPr>
                            <w:spacing w:line="206" w:lineRule="exact"/>
                            <w:ind w:right="18"/>
                            <w:jc w:val="right"/>
                            <w:rPr>
                              <w:rFonts w:ascii="Calibri Light"/>
                              <w:sz w:val="17"/>
                            </w:rPr>
                          </w:pPr>
                          <w:r>
                            <w:rPr>
                              <w:rFonts w:ascii="Calibri Light"/>
                              <w:color w:val="595959"/>
                              <w:sz w:val="17"/>
                            </w:rPr>
                            <w:t>Version</w:t>
                          </w:r>
                          <w:r>
                            <w:rPr>
                              <w:rFonts w:ascii="Calibri Light"/>
                              <w:color w:val="595959"/>
                              <w:spacing w:val="-18"/>
                              <w:sz w:val="17"/>
                            </w:rPr>
                            <w:t xml:space="preserve"> </w:t>
                          </w:r>
                          <w:r>
                            <w:rPr>
                              <w:rFonts w:ascii="Calibri Light"/>
                              <w:color w:val="595959"/>
                              <w:sz w:val="17"/>
                            </w:rPr>
                            <w:t>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B851CF" id="Text Box 5" o:spid="_x0000_s1028" type="#_x0000_t202" style="position:absolute;margin-left:377.5pt;margin-top:685.2pt;width:128.45pt;height:20.6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" filled="f" stroked="f">
              <v:textbox inset="0,0,0,0">
                <w:txbxContent>
                  <w:p w14:paraId="32CC688F" w14:textId="77777777" w:rsidR="008341A2" w:rsidRDefault="000E63F5">
                    <w:pPr>
                      <w:spacing w:line="191" w:lineRule="exact"/>
                      <w:ind w:right="21"/>
                      <w:jc w:val="right"/>
                      <w:rPr>
                        <w:rFonts w:ascii="Calibri Light"/>
                        <w:sz w:val="17"/>
                      </w:rPr>
                    </w:pPr>
                    <w:r>
                      <w:rPr>
                        <w:rFonts w:ascii="Calibri Light"/>
                        <w:color w:val="595959"/>
                        <w:sz w:val="17"/>
                      </w:rPr>
                      <w:t>Document</w:t>
                    </w:r>
                    <w:r>
                      <w:rPr>
                        <w:rFonts w:ascii="Calibri Light"/>
                        <w:color w:val="595959"/>
                        <w:spacing w:val="-21"/>
                        <w:sz w:val="17"/>
                      </w:rPr>
                      <w:t xml:space="preserve"> </w:t>
                    </w:r>
                    <w:r>
                      <w:rPr>
                        <w:rFonts w:ascii="Calibri Light"/>
                        <w:color w:val="595959"/>
                        <w:sz w:val="17"/>
                      </w:rPr>
                      <w:t>Classification:</w:t>
                    </w:r>
                    <w:r>
                      <w:rPr>
                        <w:rFonts w:ascii="Calibri Light"/>
                        <w:color w:val="595959"/>
                        <w:spacing w:val="-18"/>
                        <w:sz w:val="17"/>
                      </w:rPr>
                      <w:t xml:space="preserve"> </w:t>
                    </w:r>
                    <w:r>
                      <w:rPr>
                        <w:rFonts w:ascii="Calibri Light"/>
                        <w:color w:val="595959"/>
                        <w:sz w:val="17"/>
                      </w:rPr>
                      <w:t>Confidential</w:t>
                    </w:r>
                  </w:p>
                  <w:p w14:paraId="66D410D6" w14:textId="77777777" w:rsidR="008341A2" w:rsidRDefault="000E63F5">
                    <w:pPr>
                      <w:spacing w:line="206" w:lineRule="exact"/>
                      <w:ind w:right="18"/>
                      <w:jc w:val="right"/>
                      <w:rPr>
                        <w:rFonts w:ascii="Calibri Light"/>
                        <w:sz w:val="17"/>
                      </w:rPr>
                    </w:pPr>
                    <w:r>
                      <w:rPr>
                        <w:rFonts w:ascii="Calibri Light"/>
                        <w:color w:val="595959"/>
                        <w:sz w:val="17"/>
                      </w:rPr>
                      <w:t>Version</w:t>
                    </w:r>
                    <w:r>
                      <w:rPr>
                        <w:rFonts w:ascii="Calibri Light"/>
                        <w:color w:val="595959"/>
                        <w:spacing w:val="-18"/>
                        <w:sz w:val="17"/>
                      </w:rPr>
                      <w:t xml:space="preserve"> </w:t>
                    </w:r>
                    <w:r>
                      <w:rPr>
                        <w:rFonts w:ascii="Calibri Light"/>
                        <w:color w:val="595959"/>
                        <w:sz w:val="17"/>
                      </w:rPr>
                      <w:t>1.0</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DD5AAA" w14:textId="77777777" w:rsidR="008341A2" w:rsidRDefault="000E63F5">
    <w:pPr>
      <w:pStyle w:val="BodyText"/>
      <w:spacing w:line="14" w:lineRule="auto"/>
      <w:rPr>
        <w:sz w:val="20"/>
      </w:rPr>
    </w:pPr>
    <w:r>
      <w:rPr>
        <w:noProof/>
        <w:lang w:val="en-IN" w:eastAsia="en-IN" w:bidi="ar-SA"/>
      </w:rPr>
      <mc:AlternateContent>
        <mc:Choice Requires="wps">
          <w:drawing>
            <wp:anchor distT="0" distB="0" distL="114300" distR="114300" simplePos="0" relativeHeight="251665408" behindDoc="1" locked="0" layoutInCell="1" allowOverlap="1" wp14:anchorId="03127123" wp14:editId="758AF885">
              <wp:simplePos x="0" y="0"/>
              <wp:positionH relativeFrom="page">
                <wp:posOffset>1055370</wp:posOffset>
              </wp:positionH>
              <wp:positionV relativeFrom="page">
                <wp:posOffset>8679180</wp:posOffset>
              </wp:positionV>
              <wp:extent cx="3029585" cy="14795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958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8CDEF1" w14:textId="2DD0309B" w:rsidR="008341A2" w:rsidRDefault="000E63F5">
                          <w:pPr>
                            <w:tabs>
                              <w:tab w:val="left" w:pos="4750"/>
                            </w:tabs>
                            <w:spacing w:before="8"/>
                            <w:ind w:left="20"/>
                            <w:rPr>
                              <w:rFonts w:ascii="Calibri"/>
                              <w:b/>
                              <w:sz w:val="17"/>
                            </w:rPr>
                          </w:pPr>
                          <w:r>
                            <w:rPr>
                              <w:rFonts w:ascii="Times New Roman"/>
                              <w:color w:val="FFFFFF"/>
                              <w:spacing w:val="-16"/>
                              <w:w w:val="99"/>
                              <w:sz w:val="17"/>
                              <w:shd w:val="clear" w:color="auto" w:fill="ED1313"/>
                            </w:rPr>
                            <w:t xml:space="preserve"> </w:t>
                          </w:r>
                          <w:r>
                            <w:rPr>
                              <w:rFonts w:ascii="Calibri"/>
                              <w:b/>
                              <w:color w:val="FFFFFF"/>
                              <w:sz w:val="17"/>
                              <w:shd w:val="clear" w:color="auto" w:fill="ED1313"/>
                            </w:rPr>
                            <w:t xml:space="preserve">Page </w:t>
                          </w:r>
                          <w:r>
                            <w:fldChar w:fldCharType="begin"/>
                          </w:r>
                          <w:r>
                            <w:rPr>
                              <w:rFonts w:ascii="Calibri"/>
                              <w:b/>
                              <w:color w:val="FFFFFF"/>
                              <w:sz w:val="17"/>
                              <w:shd w:val="clear" w:color="auto" w:fill="ED1313"/>
                            </w:rPr>
                            <w:instrText xml:space="preserve"> PAGE </w:instrText>
                          </w:r>
                          <w:r>
                            <w:fldChar w:fldCharType="separate"/>
                          </w:r>
                          <w:r w:rsidR="006F0671">
                            <w:rPr>
                              <w:rFonts w:ascii="Calibri"/>
                              <w:b/>
                              <w:noProof/>
                              <w:color w:val="FFFFFF"/>
                              <w:sz w:val="17"/>
                              <w:shd w:val="clear" w:color="auto" w:fill="ED1313"/>
                            </w:rPr>
                            <w:t>12</w:t>
                          </w:r>
                          <w:r>
                            <w:fldChar w:fldCharType="end"/>
                          </w:r>
                          <w:r>
                            <w:rPr>
                              <w:rFonts w:ascii="Calibri"/>
                              <w:b/>
                              <w:color w:val="FFFFFF"/>
                              <w:sz w:val="17"/>
                              <w:shd w:val="clear" w:color="auto" w:fill="ED1313"/>
                            </w:rPr>
                            <w:t xml:space="preserve"> of</w:t>
                          </w:r>
                          <w:r>
                            <w:rPr>
                              <w:rFonts w:ascii="Calibri"/>
                              <w:b/>
                              <w:color w:val="FFFFFF"/>
                              <w:spacing w:val="-9"/>
                              <w:sz w:val="17"/>
                              <w:shd w:val="clear" w:color="auto" w:fill="ED1313"/>
                            </w:rPr>
                            <w:t xml:space="preserve"> </w:t>
                          </w:r>
                          <w:r>
                            <w:rPr>
                              <w:rFonts w:ascii="Calibri"/>
                              <w:b/>
                              <w:color w:val="FFFFFF"/>
                              <w:sz w:val="17"/>
                              <w:shd w:val="clear" w:color="auto" w:fill="ED1313"/>
                            </w:rPr>
                            <w:t>1</w:t>
                          </w:r>
                          <w:r w:rsidR="008D379E">
                            <w:rPr>
                              <w:rFonts w:ascii="Calibri"/>
                              <w:b/>
                              <w:color w:val="FFFFFF"/>
                              <w:sz w:val="17"/>
                              <w:shd w:val="clear" w:color="auto" w:fill="ED1313"/>
                            </w:rPr>
                            <w:t>1</w:t>
                          </w:r>
                          <w:r>
                            <w:rPr>
                              <w:rFonts w:ascii="Calibri"/>
                              <w:b/>
                              <w:color w:val="FFFFFF"/>
                              <w:sz w:val="17"/>
                              <w:shd w:val="clear" w:color="auto" w:fill="ED1313"/>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127123" id="_x0000_t202" coordsize="21600,21600" o:spt="202" path="m,l,21600r21600,l21600,xe">
              <v:stroke joinstyle="miter"/>
              <v:path gradientshapeok="t" o:connecttype="rect"/>
            </v:shapetype>
            <v:shape id="Text Box 2" o:spid="_x0000_s1029" type="#_x0000_t202" style="position:absolute;margin-left:83.1pt;margin-top:683.4pt;width:238.55pt;height:11.6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RowsAIAALA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" filled="f" stroked="f">
              <v:textbox inset="0,0,0,0">
                <w:txbxContent>
                  <w:p w14:paraId="638CDEF1" w14:textId="2DD0309B" w:rsidR="008341A2" w:rsidRDefault="000E63F5">
                    <w:pPr>
                      <w:tabs>
                        <w:tab w:val="left" w:pos="4750"/>
                      </w:tabs>
                      <w:spacing w:before="8"/>
                      <w:ind w:left="20"/>
                      <w:rPr>
                        <w:rFonts w:ascii="Calibri"/>
                        <w:b/>
                        <w:sz w:val="17"/>
                      </w:rPr>
                    </w:pPr>
                    <w:r>
                      <w:rPr>
                        <w:rFonts w:ascii="Times New Roman"/>
                        <w:color w:val="FFFFFF"/>
                        <w:spacing w:val="-16"/>
                        <w:w w:val="99"/>
                        <w:sz w:val="17"/>
                        <w:shd w:val="clear" w:color="auto" w:fill="ED1313"/>
                      </w:rPr>
                      <w:t xml:space="preserve"> </w:t>
                    </w:r>
                    <w:r>
                      <w:rPr>
                        <w:rFonts w:ascii="Calibri"/>
                        <w:b/>
                        <w:color w:val="FFFFFF"/>
                        <w:sz w:val="17"/>
                        <w:shd w:val="clear" w:color="auto" w:fill="ED1313"/>
                      </w:rPr>
                      <w:t xml:space="preserve">Page </w:t>
                    </w:r>
                    <w:r>
                      <w:fldChar w:fldCharType="begin"/>
                    </w:r>
                    <w:r>
                      <w:rPr>
                        <w:rFonts w:ascii="Calibri"/>
                        <w:b/>
                        <w:color w:val="FFFFFF"/>
                        <w:sz w:val="17"/>
                        <w:shd w:val="clear" w:color="auto" w:fill="ED1313"/>
                      </w:rPr>
                      <w:instrText xml:space="preserve"> PAGE </w:instrText>
                    </w:r>
                    <w:r>
                      <w:fldChar w:fldCharType="separate"/>
                    </w:r>
                    <w:r w:rsidR="006F0671">
                      <w:rPr>
                        <w:rFonts w:ascii="Calibri"/>
                        <w:b/>
                        <w:noProof/>
                        <w:color w:val="FFFFFF"/>
                        <w:sz w:val="17"/>
                        <w:shd w:val="clear" w:color="auto" w:fill="ED1313"/>
                      </w:rPr>
                      <w:t>12</w:t>
                    </w:r>
                    <w:r>
                      <w:fldChar w:fldCharType="end"/>
                    </w:r>
                    <w:r>
                      <w:rPr>
                        <w:rFonts w:ascii="Calibri"/>
                        <w:b/>
                        <w:color w:val="FFFFFF"/>
                        <w:sz w:val="17"/>
                        <w:shd w:val="clear" w:color="auto" w:fill="ED1313"/>
                      </w:rPr>
                      <w:t xml:space="preserve"> of</w:t>
                    </w:r>
                    <w:r>
                      <w:rPr>
                        <w:rFonts w:ascii="Calibri"/>
                        <w:b/>
                        <w:color w:val="FFFFFF"/>
                        <w:spacing w:val="-9"/>
                        <w:sz w:val="17"/>
                        <w:shd w:val="clear" w:color="auto" w:fill="ED1313"/>
                      </w:rPr>
                      <w:t xml:space="preserve"> </w:t>
                    </w:r>
                    <w:r>
                      <w:rPr>
                        <w:rFonts w:ascii="Calibri"/>
                        <w:b/>
                        <w:color w:val="FFFFFF"/>
                        <w:sz w:val="17"/>
                        <w:shd w:val="clear" w:color="auto" w:fill="ED1313"/>
                      </w:rPr>
                      <w:t>1</w:t>
                    </w:r>
                    <w:r w:rsidR="008D379E">
                      <w:rPr>
                        <w:rFonts w:ascii="Calibri"/>
                        <w:b/>
                        <w:color w:val="FFFFFF"/>
                        <w:sz w:val="17"/>
                        <w:shd w:val="clear" w:color="auto" w:fill="ED1313"/>
                      </w:rPr>
                      <w:t>1</w:t>
                    </w:r>
                    <w:r>
                      <w:rPr>
                        <w:rFonts w:ascii="Calibri"/>
                        <w:b/>
                        <w:color w:val="FFFFFF"/>
                        <w:sz w:val="17"/>
                        <w:shd w:val="clear" w:color="auto" w:fill="ED1313"/>
                      </w:rPr>
                      <w:tab/>
                    </w:r>
                  </w:p>
                </w:txbxContent>
              </v:textbox>
              <w10:wrap anchorx="page" anchory="page"/>
            </v:shape>
          </w:pict>
        </mc:Fallback>
      </mc:AlternateContent>
    </w:r>
    <w:r>
      <w:rPr>
        <w:noProof/>
        <w:lang w:val="en-IN" w:eastAsia="en-IN" w:bidi="ar-SA"/>
      </w:rPr>
      <mc:AlternateContent>
        <mc:Choice Requires="wps">
          <w:drawing>
            <wp:anchor distT="0" distB="0" distL="114300" distR="114300" simplePos="0" relativeHeight="251666432" behindDoc="1" locked="0" layoutInCell="1" allowOverlap="1" wp14:anchorId="6F6CF7FB" wp14:editId="42725E15">
              <wp:simplePos x="0" y="0"/>
              <wp:positionH relativeFrom="page">
                <wp:posOffset>4794250</wp:posOffset>
              </wp:positionH>
              <wp:positionV relativeFrom="page">
                <wp:posOffset>8702040</wp:posOffset>
              </wp:positionV>
              <wp:extent cx="1631315" cy="26225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1315" cy="262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DE1FA7" w14:textId="77777777" w:rsidR="008341A2" w:rsidRDefault="000E63F5">
                          <w:pPr>
                            <w:spacing w:line="191" w:lineRule="exact"/>
                            <w:ind w:right="21"/>
                            <w:jc w:val="right"/>
                            <w:rPr>
                              <w:rFonts w:ascii="Calibri Light"/>
                              <w:sz w:val="17"/>
                            </w:rPr>
                          </w:pPr>
                          <w:r>
                            <w:rPr>
                              <w:rFonts w:ascii="Calibri Light"/>
                              <w:color w:val="595959"/>
                              <w:sz w:val="17"/>
                            </w:rPr>
                            <w:t>Document</w:t>
                          </w:r>
                          <w:r>
                            <w:rPr>
                              <w:rFonts w:ascii="Calibri Light"/>
                              <w:color w:val="595959"/>
                              <w:spacing w:val="-21"/>
                              <w:sz w:val="17"/>
                            </w:rPr>
                            <w:t xml:space="preserve"> </w:t>
                          </w:r>
                          <w:r>
                            <w:rPr>
                              <w:rFonts w:ascii="Calibri Light"/>
                              <w:color w:val="595959"/>
                              <w:sz w:val="17"/>
                            </w:rPr>
                            <w:t>Classification:</w:t>
                          </w:r>
                          <w:r>
                            <w:rPr>
                              <w:rFonts w:ascii="Calibri Light"/>
                              <w:color w:val="595959"/>
                              <w:spacing w:val="-18"/>
                              <w:sz w:val="17"/>
                            </w:rPr>
                            <w:t xml:space="preserve"> </w:t>
                          </w:r>
                          <w:r>
                            <w:rPr>
                              <w:rFonts w:ascii="Calibri Light"/>
                              <w:color w:val="595959"/>
                              <w:sz w:val="17"/>
                            </w:rPr>
                            <w:t>Confidential</w:t>
                          </w:r>
                        </w:p>
                        <w:p w14:paraId="3470FD98" w14:textId="77777777" w:rsidR="008341A2" w:rsidRDefault="000E63F5">
                          <w:pPr>
                            <w:spacing w:line="206" w:lineRule="exact"/>
                            <w:ind w:right="18"/>
                            <w:jc w:val="right"/>
                            <w:rPr>
                              <w:rFonts w:ascii="Calibri Light"/>
                              <w:sz w:val="17"/>
                            </w:rPr>
                          </w:pPr>
                          <w:r>
                            <w:rPr>
                              <w:rFonts w:ascii="Calibri Light"/>
                              <w:color w:val="595959"/>
                              <w:sz w:val="17"/>
                            </w:rPr>
                            <w:t>Version</w:t>
                          </w:r>
                          <w:r>
                            <w:rPr>
                              <w:rFonts w:ascii="Calibri Light"/>
                              <w:color w:val="595959"/>
                              <w:spacing w:val="-18"/>
                              <w:sz w:val="17"/>
                            </w:rPr>
                            <w:t xml:space="preserve"> </w:t>
                          </w:r>
                          <w:r>
                            <w:rPr>
                              <w:rFonts w:ascii="Calibri Light"/>
                              <w:color w:val="595959"/>
                              <w:sz w:val="17"/>
                            </w:rPr>
                            <w:t>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6CF7FB" id="Text Box 1" o:spid="_x0000_s1030" type="#_x0000_t202" style="position:absolute;margin-left:377.5pt;margin-top:685.2pt;width:128.45pt;height:20.6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" filled="f" stroked="f">
              <v:textbox inset="0,0,0,0">
                <w:txbxContent>
                  <w:p w14:paraId="10DE1FA7" w14:textId="77777777" w:rsidR="008341A2" w:rsidRDefault="000E63F5">
                    <w:pPr>
                      <w:spacing w:line="191" w:lineRule="exact"/>
                      <w:ind w:right="21"/>
                      <w:jc w:val="right"/>
                      <w:rPr>
                        <w:rFonts w:ascii="Calibri Light"/>
                        <w:sz w:val="17"/>
                      </w:rPr>
                    </w:pPr>
                    <w:r>
                      <w:rPr>
                        <w:rFonts w:ascii="Calibri Light"/>
                        <w:color w:val="595959"/>
                        <w:sz w:val="17"/>
                      </w:rPr>
                      <w:t>Document</w:t>
                    </w:r>
                    <w:r>
                      <w:rPr>
                        <w:rFonts w:ascii="Calibri Light"/>
                        <w:color w:val="595959"/>
                        <w:spacing w:val="-21"/>
                        <w:sz w:val="17"/>
                      </w:rPr>
                      <w:t xml:space="preserve"> </w:t>
                    </w:r>
                    <w:r>
                      <w:rPr>
                        <w:rFonts w:ascii="Calibri Light"/>
                        <w:color w:val="595959"/>
                        <w:sz w:val="17"/>
                      </w:rPr>
                      <w:t>Classification:</w:t>
                    </w:r>
                    <w:r>
                      <w:rPr>
                        <w:rFonts w:ascii="Calibri Light"/>
                        <w:color w:val="595959"/>
                        <w:spacing w:val="-18"/>
                        <w:sz w:val="17"/>
                      </w:rPr>
                      <w:t xml:space="preserve"> </w:t>
                    </w:r>
                    <w:r>
                      <w:rPr>
                        <w:rFonts w:ascii="Calibri Light"/>
                        <w:color w:val="595959"/>
                        <w:sz w:val="17"/>
                      </w:rPr>
                      <w:t>Confidential</w:t>
                    </w:r>
                  </w:p>
                  <w:p w14:paraId="3470FD98" w14:textId="77777777" w:rsidR="008341A2" w:rsidRDefault="000E63F5">
                    <w:pPr>
                      <w:spacing w:line="206" w:lineRule="exact"/>
                      <w:ind w:right="18"/>
                      <w:jc w:val="right"/>
                      <w:rPr>
                        <w:rFonts w:ascii="Calibri Light"/>
                        <w:sz w:val="17"/>
                      </w:rPr>
                    </w:pPr>
                    <w:r>
                      <w:rPr>
                        <w:rFonts w:ascii="Calibri Light"/>
                        <w:color w:val="595959"/>
                        <w:sz w:val="17"/>
                      </w:rPr>
                      <w:t>Version</w:t>
                    </w:r>
                    <w:r>
                      <w:rPr>
                        <w:rFonts w:ascii="Calibri Light"/>
                        <w:color w:val="595959"/>
                        <w:spacing w:val="-18"/>
                        <w:sz w:val="17"/>
                      </w:rPr>
                      <w:t xml:space="preserve"> </w:t>
                    </w:r>
                    <w:r>
                      <w:rPr>
                        <w:rFonts w:ascii="Calibri Light"/>
                        <w:color w:val="595959"/>
                        <w:sz w:val="17"/>
                      </w:rPr>
                      <w:t>1.0</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B2CB8C" w14:textId="77777777" w:rsidR="009F25AA" w:rsidRDefault="009F25AA">
      <w:r>
        <w:separator/>
      </w:r>
    </w:p>
  </w:footnote>
  <w:footnote w:type="continuationSeparator" w:id="0">
    <w:p w14:paraId="18DD1D3C" w14:textId="77777777" w:rsidR="009F25AA" w:rsidRDefault="009F25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AE47F3" w14:textId="77777777" w:rsidR="008341A2" w:rsidRDefault="000E63F5">
    <w:pPr>
      <w:pStyle w:val="BodyText"/>
      <w:spacing w:line="14" w:lineRule="auto"/>
      <w:rPr>
        <w:sz w:val="20"/>
      </w:rPr>
    </w:pPr>
    <w:r>
      <w:rPr>
        <w:noProof/>
        <w:lang w:val="en-IN" w:eastAsia="en-IN" w:bidi="ar-SA"/>
      </w:rPr>
      <mc:AlternateContent>
        <mc:Choice Requires="wpg">
          <w:drawing>
            <wp:anchor distT="0" distB="0" distL="114300" distR="114300" simplePos="0" relativeHeight="251659264" behindDoc="1" locked="0" layoutInCell="1" allowOverlap="1" wp14:anchorId="523150F2" wp14:editId="48FB4355">
              <wp:simplePos x="0" y="0"/>
              <wp:positionH relativeFrom="page">
                <wp:posOffset>1085215</wp:posOffset>
              </wp:positionH>
              <wp:positionV relativeFrom="page">
                <wp:posOffset>286385</wp:posOffset>
              </wp:positionV>
              <wp:extent cx="5587365" cy="497205"/>
              <wp:effectExtent l="0" t="0" r="0" b="0"/>
              <wp:wrapNone/>
              <wp:docPr id="16"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87365" cy="497205"/>
                        <a:chOff x="1709" y="451"/>
                        <a:chExt cx="8799" cy="783"/>
                      </a:xfrm>
                    </wpg:grpSpPr>
                    <wps:wsp>
                      <wps:cNvPr id="18" name="Line 12"/>
                      <wps:cNvCnPr>
                        <a:cxnSpLocks noChangeShapeType="1"/>
                      </wps:cNvCnPr>
                      <wps:spPr bwMode="auto">
                        <a:xfrm>
                          <a:off x="1709" y="1194"/>
                          <a:ext cx="4365" cy="0"/>
                        </a:xfrm>
                        <a:prstGeom prst="line">
                          <a:avLst/>
                        </a:prstGeom>
                        <a:noFill/>
                        <a:ln w="50292">
                          <a:solidFill>
                            <a:srgbClr val="ED1313"/>
                          </a:solidFill>
                          <a:prstDash val="solid"/>
                          <a:round/>
                          <a:headEnd/>
                          <a:tailEnd/>
                        </a:ln>
                        <a:extLst>
                          <a:ext uri="{909E8E84-426E-40DD-AFC4-6F175D3DCCD1}">
                            <a14:hiddenFill xmlns:a14="http://schemas.microsoft.com/office/drawing/2010/main">
                              <a:noFill/>
                            </a14:hiddenFill>
                          </a:ext>
                        </a:extLst>
                      </wps:spPr>
                      <wps:bodyPr/>
                    </wps:wsp>
                    <wps:wsp>
                      <wps:cNvPr id="20" name="Line 11"/>
                      <wps:cNvCnPr>
                        <a:cxnSpLocks noChangeShapeType="1"/>
                      </wps:cNvCnPr>
                      <wps:spPr bwMode="auto">
                        <a:xfrm>
                          <a:off x="1812" y="1166"/>
                          <a:ext cx="4162" cy="0"/>
                        </a:xfrm>
                        <a:prstGeom prst="line">
                          <a:avLst/>
                        </a:prstGeom>
                        <a:noFill/>
                        <a:ln w="15240">
                          <a:solidFill>
                            <a:srgbClr val="ED1313"/>
                          </a:solidFill>
                          <a:prstDash val="solid"/>
                          <a:round/>
                          <a:headEnd/>
                          <a:tailEnd/>
                        </a:ln>
                        <a:extLst>
                          <a:ext uri="{909E8E84-426E-40DD-AFC4-6F175D3DCCD1}">
                            <a14:hiddenFill xmlns:a14="http://schemas.microsoft.com/office/drawing/2010/main">
                              <a:noFill/>
                            </a14:hiddenFill>
                          </a:ext>
                        </a:extLst>
                      </wps:spPr>
                      <wps:bodyPr/>
                    </wps:wsp>
                    <wps:wsp>
                      <wps:cNvPr id="22" name="Line 10"/>
                      <wps:cNvCnPr>
                        <a:cxnSpLocks noChangeShapeType="1"/>
                      </wps:cNvCnPr>
                      <wps:spPr bwMode="auto">
                        <a:xfrm>
                          <a:off x="6074" y="1194"/>
                          <a:ext cx="4368" cy="0"/>
                        </a:xfrm>
                        <a:prstGeom prst="line">
                          <a:avLst/>
                        </a:prstGeom>
                        <a:noFill/>
                        <a:ln w="50292">
                          <a:solidFill>
                            <a:srgbClr val="FFCF01"/>
                          </a:solidFill>
                          <a:prstDash val="solid"/>
                          <a:round/>
                          <a:headEnd/>
                          <a:tailEnd/>
                        </a:ln>
                        <a:extLst>
                          <a:ext uri="{909E8E84-426E-40DD-AFC4-6F175D3DCCD1}">
                            <a14:hiddenFill xmlns:a14="http://schemas.microsoft.com/office/drawing/2010/main">
                              <a:noFill/>
                            </a14:hiddenFill>
                          </a:ext>
                        </a:extLst>
                      </wps:spPr>
                      <wps:bodyPr/>
                    </wps:wsp>
                    <wps:wsp>
                      <wps:cNvPr id="24" name="Rectangle 9"/>
                      <wps:cNvSpPr>
                        <a:spLocks noChangeArrowheads="1"/>
                      </wps:cNvSpPr>
                      <wps:spPr bwMode="auto">
                        <a:xfrm>
                          <a:off x="6165" y="451"/>
                          <a:ext cx="4342" cy="72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DC22770" id="Group 8" o:spid="_x0000_s1026" style="position:absolute;margin-left:85.45pt;margin-top:22.55pt;width:439.95pt;height:39.15pt;z-index:-251657216;mso-position-horizontal-relative:page;mso-position-vertical-relative:page" coordorigin="1709,451" coordsize="8799,7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">
              <v:line id="Line 12" o:spid="_x0000_s1027" style="position:absolute;visibility:visible;mso-wrap-style:square" from="1709,1194" to="6074,1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" strokecolor="#ed1313" strokeweight="3.96pt"/>
              <v:line id="Line 11" o:spid="_x0000_s1028" style="position:absolute;visibility:visible;mso-wrap-style:square" from="1812,1166" to="5974,11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" strokecolor="#ed1313" strokeweight="1.2pt"/>
              <v:line id="Line 10" o:spid="_x0000_s1029" style="position:absolute;visibility:visible;mso-wrap-style:square" from="6074,1194" to="10442,1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" strokecolor="#ffcf01" strokeweight="3.96pt"/>
              <v:rect id="Rectangle 9" o:spid="_x0000_s1030" style="position:absolute;left:6165;top:451;width:4342;height:7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" stroked="f"/>
              <w10:wrap anchorx="page" anchory="page"/>
            </v:group>
          </w:pict>
        </mc:Fallback>
      </mc:AlternateContent>
    </w:r>
    <w:r>
      <w:rPr>
        <w:noProof/>
        <w:lang w:val="en-IN" w:eastAsia="en-IN" w:bidi="ar-SA"/>
      </w:rPr>
      <mc:AlternateContent>
        <mc:Choice Requires="wps">
          <w:drawing>
            <wp:anchor distT="0" distB="0" distL="114300" distR="114300" simplePos="0" relativeHeight="251660288" behindDoc="1" locked="0" layoutInCell="1" allowOverlap="1" wp14:anchorId="6A52F189" wp14:editId="0B0916EC">
              <wp:simplePos x="0" y="0"/>
              <wp:positionH relativeFrom="page">
                <wp:posOffset>5231130</wp:posOffset>
              </wp:positionH>
              <wp:positionV relativeFrom="page">
                <wp:posOffset>342900</wp:posOffset>
              </wp:positionV>
              <wp:extent cx="1363345" cy="262255"/>
              <wp:effectExtent l="0" t="0" r="0" b="0"/>
              <wp:wrapNone/>
              <wp:docPr id="1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3345" cy="262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9015E2" w14:textId="77777777" w:rsidR="008341A2" w:rsidRDefault="000E63F5">
                          <w:pPr>
                            <w:spacing w:line="191" w:lineRule="exact"/>
                            <w:ind w:left="20"/>
                            <w:rPr>
                              <w:rFonts w:ascii="Calibri"/>
                              <w:b/>
                              <w:sz w:val="17"/>
                            </w:rPr>
                          </w:pPr>
                          <w:r>
                            <w:rPr>
                              <w:rFonts w:ascii="Calibri"/>
                              <w:b/>
                              <w:color w:val="595959"/>
                              <w:sz w:val="17"/>
                            </w:rPr>
                            <w:t>Manappuram Finance Limited</w:t>
                          </w:r>
                        </w:p>
                        <w:p w14:paraId="0AA4592B" w14:textId="77777777" w:rsidR="008341A2" w:rsidRDefault="000E63F5">
                          <w:pPr>
                            <w:spacing w:line="206" w:lineRule="exact"/>
                            <w:ind w:left="25"/>
                            <w:rPr>
                              <w:rFonts w:ascii="Calibri"/>
                              <w:b/>
                              <w:sz w:val="17"/>
                            </w:rPr>
                          </w:pPr>
                          <w:r>
                            <w:rPr>
                              <w:rFonts w:ascii="Calibri"/>
                              <w:b/>
                              <w:color w:val="595959"/>
                              <w:sz w:val="17"/>
                            </w:rPr>
                            <w:t>Investment Policy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52F189" id="_x0000_t202" coordsize="21600,21600" o:spt="202" path="m,l,21600r21600,l21600,xe">
              <v:stroke joinstyle="miter"/>
              <v:path gradientshapeok="t" o:connecttype="rect"/>
            </v:shapetype>
            <v:shape id="Text Box 7" o:spid="_x0000_s1026" type="#_x0000_t202" style="position:absolute;margin-left:411.9pt;margin-top:27pt;width:107.35pt;height:20.6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" filled="f" stroked="f">
              <v:textbox inset="0,0,0,0">
                <w:txbxContent>
                  <w:p w14:paraId="389015E2" w14:textId="77777777" w:rsidR="008341A2" w:rsidRDefault="000E63F5">
                    <w:pPr>
                      <w:spacing w:line="191" w:lineRule="exact"/>
                      <w:ind w:left="20"/>
                      <w:rPr>
                        <w:rFonts w:ascii="Calibri"/>
                        <w:b/>
                        <w:sz w:val="17"/>
                      </w:rPr>
                    </w:pPr>
                    <w:r>
                      <w:rPr>
                        <w:rFonts w:ascii="Calibri"/>
                        <w:b/>
                        <w:color w:val="595959"/>
                        <w:sz w:val="17"/>
                      </w:rPr>
                      <w:t>Manappuram Finance Limited</w:t>
                    </w:r>
                  </w:p>
                  <w:p w14:paraId="0AA4592B" w14:textId="77777777" w:rsidR="008341A2" w:rsidRDefault="000E63F5">
                    <w:pPr>
                      <w:spacing w:line="206" w:lineRule="exact"/>
                      <w:ind w:left="25"/>
                      <w:rPr>
                        <w:rFonts w:ascii="Calibri"/>
                        <w:b/>
                        <w:sz w:val="17"/>
                      </w:rPr>
                    </w:pPr>
                    <w:r>
                      <w:rPr>
                        <w:rFonts w:ascii="Calibri"/>
                        <w:b/>
                        <w:color w:val="595959"/>
                        <w:sz w:val="17"/>
                      </w:rPr>
                      <w:t>Investment Policy</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20A7F"/>
    <w:multiLevelType w:val="multilevel"/>
    <w:tmpl w:val="B554DF2C"/>
    <w:lvl w:ilvl="0">
      <w:start w:val="6"/>
      <w:numFmt w:val="decimal"/>
      <w:lvlText w:val="%1"/>
      <w:lvlJc w:val="left"/>
      <w:pPr>
        <w:ind w:left="360" w:hanging="360"/>
      </w:pPr>
      <w:rPr>
        <w:rFonts w:hint="default"/>
        <w:b/>
      </w:rPr>
    </w:lvl>
    <w:lvl w:ilvl="1">
      <w:start w:val="5"/>
      <w:numFmt w:val="decimal"/>
      <w:lvlText w:val="%1.%2"/>
      <w:lvlJc w:val="left"/>
      <w:pPr>
        <w:ind w:left="807" w:hanging="360"/>
      </w:pPr>
      <w:rPr>
        <w:rFonts w:hint="default"/>
        <w:b/>
      </w:rPr>
    </w:lvl>
    <w:lvl w:ilvl="2">
      <w:start w:val="1"/>
      <w:numFmt w:val="decimal"/>
      <w:lvlText w:val="%1.%2.%3"/>
      <w:lvlJc w:val="left"/>
      <w:pPr>
        <w:ind w:left="1614" w:hanging="720"/>
      </w:pPr>
      <w:rPr>
        <w:rFonts w:hint="default"/>
        <w:b/>
      </w:rPr>
    </w:lvl>
    <w:lvl w:ilvl="3">
      <w:start w:val="1"/>
      <w:numFmt w:val="decimal"/>
      <w:lvlText w:val="%1.%2.%3.%4"/>
      <w:lvlJc w:val="left"/>
      <w:pPr>
        <w:ind w:left="2061" w:hanging="720"/>
      </w:pPr>
      <w:rPr>
        <w:rFonts w:hint="default"/>
        <w:b/>
      </w:rPr>
    </w:lvl>
    <w:lvl w:ilvl="4">
      <w:start w:val="1"/>
      <w:numFmt w:val="decimal"/>
      <w:lvlText w:val="%1.%2.%3.%4.%5"/>
      <w:lvlJc w:val="left"/>
      <w:pPr>
        <w:ind w:left="2868" w:hanging="1080"/>
      </w:pPr>
      <w:rPr>
        <w:rFonts w:hint="default"/>
        <w:b/>
      </w:rPr>
    </w:lvl>
    <w:lvl w:ilvl="5">
      <w:start w:val="1"/>
      <w:numFmt w:val="decimal"/>
      <w:lvlText w:val="%1.%2.%3.%4.%5.%6"/>
      <w:lvlJc w:val="left"/>
      <w:pPr>
        <w:ind w:left="3315" w:hanging="1080"/>
      </w:pPr>
      <w:rPr>
        <w:rFonts w:hint="default"/>
        <w:b/>
      </w:rPr>
    </w:lvl>
    <w:lvl w:ilvl="6">
      <w:start w:val="1"/>
      <w:numFmt w:val="decimal"/>
      <w:lvlText w:val="%1.%2.%3.%4.%5.%6.%7"/>
      <w:lvlJc w:val="left"/>
      <w:pPr>
        <w:ind w:left="4122" w:hanging="1440"/>
      </w:pPr>
      <w:rPr>
        <w:rFonts w:hint="default"/>
        <w:b/>
      </w:rPr>
    </w:lvl>
    <w:lvl w:ilvl="7">
      <w:start w:val="1"/>
      <w:numFmt w:val="decimal"/>
      <w:lvlText w:val="%1.%2.%3.%4.%5.%6.%7.%8"/>
      <w:lvlJc w:val="left"/>
      <w:pPr>
        <w:ind w:left="4569" w:hanging="1440"/>
      </w:pPr>
      <w:rPr>
        <w:rFonts w:hint="default"/>
        <w:b/>
      </w:rPr>
    </w:lvl>
    <w:lvl w:ilvl="8">
      <w:start w:val="1"/>
      <w:numFmt w:val="decimal"/>
      <w:lvlText w:val="%1.%2.%3.%4.%5.%6.%7.%8.%9"/>
      <w:lvlJc w:val="left"/>
      <w:pPr>
        <w:ind w:left="5376" w:hanging="1800"/>
      </w:pPr>
      <w:rPr>
        <w:rFonts w:hint="default"/>
        <w:b/>
      </w:rPr>
    </w:lvl>
  </w:abstractNum>
  <w:abstractNum w:abstractNumId="1" w15:restartNumberingAfterBreak="0">
    <w:nsid w:val="0B8B01D8"/>
    <w:multiLevelType w:val="hybridMultilevel"/>
    <w:tmpl w:val="E47A9B36"/>
    <w:lvl w:ilvl="0" w:tplc="E4A422E2">
      <w:start w:val="1"/>
      <w:numFmt w:val="decimal"/>
      <w:lvlText w:val="%1."/>
      <w:lvlJc w:val="left"/>
      <w:pPr>
        <w:ind w:left="446" w:hanging="339"/>
        <w:jc w:val="right"/>
      </w:pPr>
      <w:rPr>
        <w:rFonts w:hint="default"/>
        <w:b/>
        <w:bCs/>
        <w:spacing w:val="0"/>
        <w:w w:val="101"/>
        <w:lang w:val="en-US" w:eastAsia="en-US" w:bidi="en-US"/>
      </w:rPr>
    </w:lvl>
    <w:lvl w:ilvl="1" w:tplc="C2DAB0C2">
      <w:start w:val="1"/>
      <w:numFmt w:val="lowerLetter"/>
      <w:lvlText w:val="%2."/>
      <w:lvlJc w:val="left"/>
      <w:pPr>
        <w:ind w:left="532" w:hanging="338"/>
      </w:pPr>
      <w:rPr>
        <w:rFonts w:ascii="Arial" w:eastAsia="Arial" w:hAnsi="Arial" w:cs="Arial" w:hint="default"/>
        <w:spacing w:val="-2"/>
        <w:w w:val="102"/>
        <w:sz w:val="22"/>
        <w:szCs w:val="22"/>
        <w:lang w:val="en-US" w:eastAsia="en-US" w:bidi="en-US"/>
      </w:rPr>
    </w:lvl>
    <w:lvl w:ilvl="2" w:tplc="87AC6AFE">
      <w:numFmt w:val="bullet"/>
      <w:lvlText w:val="•"/>
      <w:lvlJc w:val="left"/>
      <w:pPr>
        <w:ind w:left="780" w:hanging="338"/>
      </w:pPr>
      <w:rPr>
        <w:rFonts w:hint="default"/>
        <w:lang w:val="en-US" w:eastAsia="en-US" w:bidi="en-US"/>
      </w:rPr>
    </w:lvl>
    <w:lvl w:ilvl="3" w:tplc="FA3C901E">
      <w:numFmt w:val="bullet"/>
      <w:lvlText w:val="•"/>
      <w:lvlJc w:val="left"/>
      <w:pPr>
        <w:ind w:left="820" w:hanging="338"/>
      </w:pPr>
      <w:rPr>
        <w:rFonts w:hint="default"/>
        <w:lang w:val="en-US" w:eastAsia="en-US" w:bidi="en-US"/>
      </w:rPr>
    </w:lvl>
    <w:lvl w:ilvl="4" w:tplc="612A0008">
      <w:numFmt w:val="bullet"/>
      <w:lvlText w:val="•"/>
      <w:lvlJc w:val="left"/>
      <w:pPr>
        <w:ind w:left="2028" w:hanging="338"/>
      </w:pPr>
      <w:rPr>
        <w:rFonts w:hint="default"/>
        <w:lang w:val="en-US" w:eastAsia="en-US" w:bidi="en-US"/>
      </w:rPr>
    </w:lvl>
    <w:lvl w:ilvl="5" w:tplc="6E483B80">
      <w:numFmt w:val="bullet"/>
      <w:lvlText w:val="•"/>
      <w:lvlJc w:val="left"/>
      <w:pPr>
        <w:ind w:left="3237" w:hanging="338"/>
      </w:pPr>
      <w:rPr>
        <w:rFonts w:hint="default"/>
        <w:lang w:val="en-US" w:eastAsia="en-US" w:bidi="en-US"/>
      </w:rPr>
    </w:lvl>
    <w:lvl w:ilvl="6" w:tplc="E76A7E56">
      <w:numFmt w:val="bullet"/>
      <w:lvlText w:val="•"/>
      <w:lvlJc w:val="left"/>
      <w:pPr>
        <w:ind w:left="4445" w:hanging="338"/>
      </w:pPr>
      <w:rPr>
        <w:rFonts w:hint="default"/>
        <w:lang w:val="en-US" w:eastAsia="en-US" w:bidi="en-US"/>
      </w:rPr>
    </w:lvl>
    <w:lvl w:ilvl="7" w:tplc="0D98FC4C">
      <w:numFmt w:val="bullet"/>
      <w:lvlText w:val="•"/>
      <w:lvlJc w:val="left"/>
      <w:pPr>
        <w:ind w:left="5654" w:hanging="338"/>
      </w:pPr>
      <w:rPr>
        <w:rFonts w:hint="default"/>
        <w:lang w:val="en-US" w:eastAsia="en-US" w:bidi="en-US"/>
      </w:rPr>
    </w:lvl>
    <w:lvl w:ilvl="8" w:tplc="A4026F8E">
      <w:numFmt w:val="bullet"/>
      <w:lvlText w:val="•"/>
      <w:lvlJc w:val="left"/>
      <w:pPr>
        <w:ind w:left="6862" w:hanging="338"/>
      </w:pPr>
      <w:rPr>
        <w:rFonts w:hint="default"/>
        <w:lang w:val="en-US" w:eastAsia="en-US" w:bidi="en-US"/>
      </w:rPr>
    </w:lvl>
  </w:abstractNum>
  <w:abstractNum w:abstractNumId="2" w15:restartNumberingAfterBreak="0">
    <w:nsid w:val="0E8E086F"/>
    <w:multiLevelType w:val="multilevel"/>
    <w:tmpl w:val="B554DF2C"/>
    <w:lvl w:ilvl="0">
      <w:start w:val="6"/>
      <w:numFmt w:val="decimal"/>
      <w:lvlText w:val="%1"/>
      <w:lvlJc w:val="left"/>
      <w:pPr>
        <w:ind w:left="360" w:hanging="360"/>
      </w:pPr>
      <w:rPr>
        <w:rFonts w:hint="default"/>
        <w:b/>
      </w:rPr>
    </w:lvl>
    <w:lvl w:ilvl="1">
      <w:start w:val="5"/>
      <w:numFmt w:val="decimal"/>
      <w:lvlText w:val="%1.%2"/>
      <w:lvlJc w:val="left"/>
      <w:pPr>
        <w:ind w:left="807" w:hanging="360"/>
      </w:pPr>
      <w:rPr>
        <w:rFonts w:hint="default"/>
        <w:b/>
      </w:rPr>
    </w:lvl>
    <w:lvl w:ilvl="2">
      <w:start w:val="1"/>
      <w:numFmt w:val="decimal"/>
      <w:lvlText w:val="%1.%2.%3"/>
      <w:lvlJc w:val="left"/>
      <w:pPr>
        <w:ind w:left="1614" w:hanging="720"/>
      </w:pPr>
      <w:rPr>
        <w:rFonts w:hint="default"/>
        <w:b/>
      </w:rPr>
    </w:lvl>
    <w:lvl w:ilvl="3">
      <w:start w:val="1"/>
      <w:numFmt w:val="decimal"/>
      <w:lvlText w:val="%1.%2.%3.%4"/>
      <w:lvlJc w:val="left"/>
      <w:pPr>
        <w:ind w:left="2061" w:hanging="720"/>
      </w:pPr>
      <w:rPr>
        <w:rFonts w:hint="default"/>
        <w:b/>
      </w:rPr>
    </w:lvl>
    <w:lvl w:ilvl="4">
      <w:start w:val="1"/>
      <w:numFmt w:val="decimal"/>
      <w:lvlText w:val="%1.%2.%3.%4.%5"/>
      <w:lvlJc w:val="left"/>
      <w:pPr>
        <w:ind w:left="2868" w:hanging="1080"/>
      </w:pPr>
      <w:rPr>
        <w:rFonts w:hint="default"/>
        <w:b/>
      </w:rPr>
    </w:lvl>
    <w:lvl w:ilvl="5">
      <w:start w:val="1"/>
      <w:numFmt w:val="decimal"/>
      <w:lvlText w:val="%1.%2.%3.%4.%5.%6"/>
      <w:lvlJc w:val="left"/>
      <w:pPr>
        <w:ind w:left="3315" w:hanging="1080"/>
      </w:pPr>
      <w:rPr>
        <w:rFonts w:hint="default"/>
        <w:b/>
      </w:rPr>
    </w:lvl>
    <w:lvl w:ilvl="6">
      <w:start w:val="1"/>
      <w:numFmt w:val="decimal"/>
      <w:lvlText w:val="%1.%2.%3.%4.%5.%6.%7"/>
      <w:lvlJc w:val="left"/>
      <w:pPr>
        <w:ind w:left="4122" w:hanging="1440"/>
      </w:pPr>
      <w:rPr>
        <w:rFonts w:hint="default"/>
        <w:b/>
      </w:rPr>
    </w:lvl>
    <w:lvl w:ilvl="7">
      <w:start w:val="1"/>
      <w:numFmt w:val="decimal"/>
      <w:lvlText w:val="%1.%2.%3.%4.%5.%6.%7.%8"/>
      <w:lvlJc w:val="left"/>
      <w:pPr>
        <w:ind w:left="4569" w:hanging="1440"/>
      </w:pPr>
      <w:rPr>
        <w:rFonts w:hint="default"/>
        <w:b/>
      </w:rPr>
    </w:lvl>
    <w:lvl w:ilvl="8">
      <w:start w:val="1"/>
      <w:numFmt w:val="decimal"/>
      <w:lvlText w:val="%1.%2.%3.%4.%5.%6.%7.%8.%9"/>
      <w:lvlJc w:val="left"/>
      <w:pPr>
        <w:ind w:left="5376" w:hanging="1800"/>
      </w:pPr>
      <w:rPr>
        <w:rFonts w:hint="default"/>
        <w:b/>
      </w:rPr>
    </w:lvl>
  </w:abstractNum>
  <w:abstractNum w:abstractNumId="3" w15:restartNumberingAfterBreak="0">
    <w:nsid w:val="1F13548D"/>
    <w:multiLevelType w:val="multilevel"/>
    <w:tmpl w:val="340E8F5C"/>
    <w:lvl w:ilvl="0">
      <w:start w:val="1"/>
      <w:numFmt w:val="decimal"/>
      <w:lvlText w:val="%1."/>
      <w:lvlJc w:val="left"/>
      <w:pPr>
        <w:ind w:left="655" w:hanging="338"/>
      </w:pPr>
      <w:rPr>
        <w:rFonts w:ascii="Arial" w:eastAsia="Arial" w:hAnsi="Arial" w:cs="Arial" w:hint="default"/>
        <w:b/>
        <w:bCs/>
        <w:spacing w:val="-2"/>
        <w:w w:val="103"/>
        <w:sz w:val="18"/>
        <w:szCs w:val="18"/>
        <w:lang w:val="en-US" w:eastAsia="en-US" w:bidi="en-US"/>
      </w:rPr>
    </w:lvl>
    <w:lvl w:ilvl="1">
      <w:start w:val="1"/>
      <w:numFmt w:val="decimal"/>
      <w:lvlText w:val="%1.%2"/>
      <w:lvlJc w:val="left"/>
      <w:pPr>
        <w:ind w:left="785" w:hanging="312"/>
      </w:pPr>
      <w:rPr>
        <w:rFonts w:ascii="Arial" w:eastAsia="Arial" w:hAnsi="Arial" w:cs="Arial" w:hint="default"/>
        <w:b/>
        <w:bCs/>
        <w:spacing w:val="-2"/>
        <w:w w:val="103"/>
        <w:sz w:val="18"/>
        <w:szCs w:val="18"/>
        <w:lang w:val="en-US" w:eastAsia="en-US" w:bidi="en-US"/>
      </w:rPr>
    </w:lvl>
    <w:lvl w:ilvl="2">
      <w:start w:val="1"/>
      <w:numFmt w:val="decimal"/>
      <w:lvlText w:val="%1.%2.%3"/>
      <w:lvlJc w:val="left"/>
      <w:pPr>
        <w:ind w:left="1202" w:hanging="468"/>
      </w:pPr>
      <w:rPr>
        <w:rFonts w:ascii="Arial" w:eastAsia="Arial" w:hAnsi="Arial" w:cs="Arial" w:hint="default"/>
        <w:b/>
        <w:bCs/>
        <w:spacing w:val="-2"/>
        <w:w w:val="103"/>
        <w:sz w:val="18"/>
        <w:szCs w:val="18"/>
        <w:lang w:val="en-US" w:eastAsia="en-US" w:bidi="en-US"/>
      </w:rPr>
    </w:lvl>
    <w:lvl w:ilvl="3">
      <w:numFmt w:val="bullet"/>
      <w:lvlText w:val="•"/>
      <w:lvlJc w:val="left"/>
      <w:pPr>
        <w:ind w:left="2210" w:hanging="468"/>
      </w:pPr>
      <w:rPr>
        <w:rFonts w:hint="default"/>
        <w:lang w:val="en-US" w:eastAsia="en-US" w:bidi="en-US"/>
      </w:rPr>
    </w:lvl>
    <w:lvl w:ilvl="4">
      <w:numFmt w:val="bullet"/>
      <w:lvlText w:val="•"/>
      <w:lvlJc w:val="left"/>
      <w:pPr>
        <w:ind w:left="3220" w:hanging="468"/>
      </w:pPr>
      <w:rPr>
        <w:rFonts w:hint="default"/>
        <w:lang w:val="en-US" w:eastAsia="en-US" w:bidi="en-US"/>
      </w:rPr>
    </w:lvl>
    <w:lvl w:ilvl="5">
      <w:numFmt w:val="bullet"/>
      <w:lvlText w:val="•"/>
      <w:lvlJc w:val="left"/>
      <w:pPr>
        <w:ind w:left="4230" w:hanging="468"/>
      </w:pPr>
      <w:rPr>
        <w:rFonts w:hint="default"/>
        <w:lang w:val="en-US" w:eastAsia="en-US" w:bidi="en-US"/>
      </w:rPr>
    </w:lvl>
    <w:lvl w:ilvl="6">
      <w:numFmt w:val="bullet"/>
      <w:lvlText w:val="•"/>
      <w:lvlJc w:val="left"/>
      <w:pPr>
        <w:ind w:left="5240" w:hanging="468"/>
      </w:pPr>
      <w:rPr>
        <w:rFonts w:hint="default"/>
        <w:lang w:val="en-US" w:eastAsia="en-US" w:bidi="en-US"/>
      </w:rPr>
    </w:lvl>
    <w:lvl w:ilvl="7">
      <w:numFmt w:val="bullet"/>
      <w:lvlText w:val="•"/>
      <w:lvlJc w:val="left"/>
      <w:pPr>
        <w:ind w:left="6250" w:hanging="468"/>
      </w:pPr>
      <w:rPr>
        <w:rFonts w:hint="default"/>
        <w:lang w:val="en-US" w:eastAsia="en-US" w:bidi="en-US"/>
      </w:rPr>
    </w:lvl>
    <w:lvl w:ilvl="8">
      <w:numFmt w:val="bullet"/>
      <w:lvlText w:val="•"/>
      <w:lvlJc w:val="left"/>
      <w:pPr>
        <w:ind w:left="7260" w:hanging="468"/>
      </w:pPr>
      <w:rPr>
        <w:rFonts w:hint="default"/>
        <w:lang w:val="en-US" w:eastAsia="en-US" w:bidi="en-US"/>
      </w:rPr>
    </w:lvl>
  </w:abstractNum>
  <w:abstractNum w:abstractNumId="4" w15:restartNumberingAfterBreak="0">
    <w:nsid w:val="1F90128E"/>
    <w:multiLevelType w:val="multilevel"/>
    <w:tmpl w:val="63B8F1B4"/>
    <w:lvl w:ilvl="0">
      <w:start w:val="4"/>
      <w:numFmt w:val="decimal"/>
      <w:lvlText w:val="%1"/>
      <w:lvlJc w:val="left"/>
      <w:pPr>
        <w:ind w:left="864" w:hanging="499"/>
      </w:pPr>
      <w:rPr>
        <w:rFonts w:hint="default"/>
        <w:lang w:val="en-US" w:eastAsia="en-US" w:bidi="en-US"/>
      </w:rPr>
    </w:lvl>
    <w:lvl w:ilvl="1">
      <w:start w:val="3"/>
      <w:numFmt w:val="decimal"/>
      <w:lvlText w:val="%1.%2."/>
      <w:lvlJc w:val="left"/>
      <w:pPr>
        <w:ind w:left="864" w:hanging="499"/>
      </w:pPr>
      <w:rPr>
        <w:rFonts w:ascii="Arial" w:eastAsia="Arial" w:hAnsi="Arial" w:cs="Arial" w:hint="default"/>
        <w:b/>
        <w:bCs/>
        <w:spacing w:val="-4"/>
        <w:w w:val="102"/>
        <w:sz w:val="22"/>
        <w:szCs w:val="22"/>
        <w:lang w:val="en-US" w:eastAsia="en-US" w:bidi="en-US"/>
      </w:rPr>
    </w:lvl>
    <w:lvl w:ilvl="2">
      <w:start w:val="1"/>
      <w:numFmt w:val="decimal"/>
      <w:lvlText w:val="%1.%2.%3"/>
      <w:lvlJc w:val="left"/>
      <w:pPr>
        <w:ind w:left="1140" w:hanging="561"/>
        <w:jc w:val="right"/>
      </w:pPr>
      <w:rPr>
        <w:rFonts w:ascii="Arial" w:eastAsia="Arial" w:hAnsi="Arial" w:cs="Arial" w:hint="default"/>
        <w:b/>
        <w:bCs/>
        <w:spacing w:val="-4"/>
        <w:w w:val="102"/>
        <w:sz w:val="22"/>
        <w:szCs w:val="22"/>
        <w:lang w:val="en-US" w:eastAsia="en-US" w:bidi="en-US"/>
      </w:rPr>
    </w:lvl>
    <w:lvl w:ilvl="3">
      <w:start w:val="1"/>
      <w:numFmt w:val="lowerLetter"/>
      <w:lvlText w:val="%4."/>
      <w:lvlJc w:val="left"/>
      <w:pPr>
        <w:ind w:left="1613" w:hanging="249"/>
      </w:pPr>
      <w:rPr>
        <w:rFonts w:ascii="Arial" w:eastAsia="Arial" w:hAnsi="Arial" w:cs="Arial" w:hint="default"/>
        <w:w w:val="102"/>
        <w:sz w:val="22"/>
        <w:szCs w:val="22"/>
        <w:lang w:val="en-US" w:eastAsia="en-US" w:bidi="en-US"/>
      </w:rPr>
    </w:lvl>
    <w:lvl w:ilvl="4">
      <w:numFmt w:val="bullet"/>
      <w:lvlText w:val="•"/>
      <w:lvlJc w:val="left"/>
      <w:pPr>
        <w:ind w:left="2714" w:hanging="249"/>
      </w:pPr>
      <w:rPr>
        <w:rFonts w:hint="default"/>
        <w:lang w:val="en-US" w:eastAsia="en-US" w:bidi="en-US"/>
      </w:rPr>
    </w:lvl>
    <w:lvl w:ilvl="5">
      <w:numFmt w:val="bullet"/>
      <w:lvlText w:val="•"/>
      <w:lvlJc w:val="left"/>
      <w:pPr>
        <w:ind w:left="3808" w:hanging="249"/>
      </w:pPr>
      <w:rPr>
        <w:rFonts w:hint="default"/>
        <w:lang w:val="en-US" w:eastAsia="en-US" w:bidi="en-US"/>
      </w:rPr>
    </w:lvl>
    <w:lvl w:ilvl="6">
      <w:numFmt w:val="bullet"/>
      <w:lvlText w:val="•"/>
      <w:lvlJc w:val="left"/>
      <w:pPr>
        <w:ind w:left="4902" w:hanging="249"/>
      </w:pPr>
      <w:rPr>
        <w:rFonts w:hint="default"/>
        <w:lang w:val="en-US" w:eastAsia="en-US" w:bidi="en-US"/>
      </w:rPr>
    </w:lvl>
    <w:lvl w:ilvl="7">
      <w:numFmt w:val="bullet"/>
      <w:lvlText w:val="•"/>
      <w:lvlJc w:val="left"/>
      <w:pPr>
        <w:ind w:left="5997" w:hanging="249"/>
      </w:pPr>
      <w:rPr>
        <w:rFonts w:hint="default"/>
        <w:lang w:val="en-US" w:eastAsia="en-US" w:bidi="en-US"/>
      </w:rPr>
    </w:lvl>
    <w:lvl w:ilvl="8">
      <w:numFmt w:val="bullet"/>
      <w:lvlText w:val="•"/>
      <w:lvlJc w:val="left"/>
      <w:pPr>
        <w:ind w:left="7091" w:hanging="249"/>
      </w:pPr>
      <w:rPr>
        <w:rFonts w:hint="default"/>
        <w:lang w:val="en-US" w:eastAsia="en-US" w:bidi="en-US"/>
      </w:rPr>
    </w:lvl>
  </w:abstractNum>
  <w:abstractNum w:abstractNumId="5" w15:restartNumberingAfterBreak="0">
    <w:nsid w:val="229A2740"/>
    <w:multiLevelType w:val="multilevel"/>
    <w:tmpl w:val="33327138"/>
    <w:lvl w:ilvl="0">
      <w:start w:val="4"/>
      <w:numFmt w:val="decimal"/>
      <w:lvlText w:val="%1"/>
      <w:lvlJc w:val="left"/>
      <w:pPr>
        <w:ind w:left="708" w:hanging="375"/>
      </w:pPr>
      <w:rPr>
        <w:rFonts w:hint="default"/>
        <w:lang w:val="en-US" w:eastAsia="en-US" w:bidi="en-US"/>
      </w:rPr>
    </w:lvl>
    <w:lvl w:ilvl="1">
      <w:start w:val="1"/>
      <w:numFmt w:val="decimal"/>
      <w:lvlText w:val="%1.%2"/>
      <w:lvlJc w:val="left"/>
      <w:pPr>
        <w:ind w:left="708" w:hanging="375"/>
      </w:pPr>
      <w:rPr>
        <w:rFonts w:ascii="Arial" w:eastAsia="Arial" w:hAnsi="Arial" w:cs="Arial" w:hint="default"/>
        <w:b/>
        <w:bCs/>
        <w:spacing w:val="-2"/>
        <w:w w:val="102"/>
        <w:sz w:val="22"/>
        <w:szCs w:val="22"/>
        <w:lang w:val="en-US" w:eastAsia="en-US" w:bidi="en-US"/>
      </w:rPr>
    </w:lvl>
    <w:lvl w:ilvl="2">
      <w:start w:val="1"/>
      <w:numFmt w:val="lowerLetter"/>
      <w:lvlText w:val="%3."/>
      <w:lvlJc w:val="left"/>
      <w:pPr>
        <w:ind w:left="843" w:hanging="313"/>
      </w:pPr>
      <w:rPr>
        <w:rFonts w:ascii="Arial" w:eastAsia="Arial" w:hAnsi="Arial" w:cs="Arial" w:hint="default"/>
        <w:w w:val="102"/>
        <w:sz w:val="22"/>
        <w:szCs w:val="22"/>
        <w:lang w:val="en-US" w:eastAsia="en-US" w:bidi="en-US"/>
      </w:rPr>
    </w:lvl>
    <w:lvl w:ilvl="3">
      <w:start w:val="1"/>
      <w:numFmt w:val="lowerRoman"/>
      <w:lvlText w:val="(%4)"/>
      <w:lvlJc w:val="left"/>
      <w:pPr>
        <w:ind w:left="1168" w:hanging="261"/>
      </w:pPr>
      <w:rPr>
        <w:rFonts w:ascii="Arial" w:eastAsia="Arial" w:hAnsi="Arial" w:cs="Arial" w:hint="default"/>
        <w:w w:val="102"/>
        <w:sz w:val="22"/>
        <w:szCs w:val="22"/>
        <w:lang w:val="en-US" w:eastAsia="en-US" w:bidi="en-US"/>
      </w:rPr>
    </w:lvl>
    <w:lvl w:ilvl="4">
      <w:numFmt w:val="bullet"/>
      <w:lvlText w:val="•"/>
      <w:lvlJc w:val="left"/>
      <w:pPr>
        <w:ind w:left="1240" w:hanging="261"/>
      </w:pPr>
      <w:rPr>
        <w:rFonts w:hint="default"/>
        <w:lang w:val="en-US" w:eastAsia="en-US" w:bidi="en-US"/>
      </w:rPr>
    </w:lvl>
    <w:lvl w:ilvl="5">
      <w:numFmt w:val="bullet"/>
      <w:lvlText w:val="•"/>
      <w:lvlJc w:val="left"/>
      <w:pPr>
        <w:ind w:left="2580" w:hanging="261"/>
      </w:pPr>
      <w:rPr>
        <w:rFonts w:hint="default"/>
        <w:lang w:val="en-US" w:eastAsia="en-US" w:bidi="en-US"/>
      </w:rPr>
    </w:lvl>
    <w:lvl w:ilvl="6">
      <w:numFmt w:val="bullet"/>
      <w:lvlText w:val="•"/>
      <w:lvlJc w:val="left"/>
      <w:pPr>
        <w:ind w:left="3920" w:hanging="261"/>
      </w:pPr>
      <w:rPr>
        <w:rFonts w:hint="default"/>
        <w:lang w:val="en-US" w:eastAsia="en-US" w:bidi="en-US"/>
      </w:rPr>
    </w:lvl>
    <w:lvl w:ilvl="7">
      <w:numFmt w:val="bullet"/>
      <w:lvlText w:val="•"/>
      <w:lvlJc w:val="left"/>
      <w:pPr>
        <w:ind w:left="5260" w:hanging="261"/>
      </w:pPr>
      <w:rPr>
        <w:rFonts w:hint="default"/>
        <w:lang w:val="en-US" w:eastAsia="en-US" w:bidi="en-US"/>
      </w:rPr>
    </w:lvl>
    <w:lvl w:ilvl="8">
      <w:numFmt w:val="bullet"/>
      <w:lvlText w:val="•"/>
      <w:lvlJc w:val="left"/>
      <w:pPr>
        <w:ind w:left="6600" w:hanging="261"/>
      </w:pPr>
      <w:rPr>
        <w:rFonts w:hint="default"/>
        <w:lang w:val="en-US" w:eastAsia="en-US" w:bidi="en-US"/>
      </w:rPr>
    </w:lvl>
  </w:abstractNum>
  <w:abstractNum w:abstractNumId="6" w15:restartNumberingAfterBreak="0">
    <w:nsid w:val="241457E5"/>
    <w:multiLevelType w:val="multilevel"/>
    <w:tmpl w:val="110C6A0A"/>
    <w:lvl w:ilvl="0">
      <w:start w:val="6"/>
      <w:numFmt w:val="decimal"/>
      <w:lvlText w:val="%1"/>
      <w:lvlJc w:val="left"/>
      <w:pPr>
        <w:ind w:left="956" w:hanging="509"/>
      </w:pPr>
      <w:rPr>
        <w:rFonts w:hint="default"/>
        <w:lang w:val="en-US" w:eastAsia="en-US" w:bidi="en-US"/>
      </w:rPr>
    </w:lvl>
    <w:lvl w:ilvl="1">
      <w:start w:val="1"/>
      <w:numFmt w:val="decimal"/>
      <w:lvlText w:val="%1.%2"/>
      <w:lvlJc w:val="left"/>
      <w:pPr>
        <w:ind w:left="956" w:hanging="509"/>
        <w:jc w:val="right"/>
      </w:pPr>
      <w:rPr>
        <w:rFonts w:hint="default"/>
        <w:b/>
        <w:bCs/>
        <w:spacing w:val="-2"/>
        <w:w w:val="102"/>
        <w:lang w:val="en-US" w:eastAsia="en-US" w:bidi="en-US"/>
      </w:rPr>
    </w:lvl>
    <w:lvl w:ilvl="2">
      <w:start w:val="1"/>
      <w:numFmt w:val="lowerLetter"/>
      <w:lvlText w:val="%3."/>
      <w:lvlJc w:val="left"/>
      <w:pPr>
        <w:ind w:left="1210" w:hanging="254"/>
      </w:pPr>
      <w:rPr>
        <w:rFonts w:ascii="Arial" w:eastAsia="Arial" w:hAnsi="Arial" w:cs="Arial" w:hint="default"/>
        <w:spacing w:val="-2"/>
        <w:w w:val="102"/>
        <w:sz w:val="22"/>
        <w:szCs w:val="22"/>
        <w:lang w:val="en-US" w:eastAsia="en-US" w:bidi="en-US"/>
      </w:rPr>
    </w:lvl>
    <w:lvl w:ilvl="3">
      <w:numFmt w:val="bullet"/>
      <w:lvlText w:val="•"/>
      <w:lvlJc w:val="left"/>
      <w:pPr>
        <w:ind w:left="3011" w:hanging="254"/>
      </w:pPr>
      <w:rPr>
        <w:rFonts w:hint="default"/>
        <w:lang w:val="en-US" w:eastAsia="en-US" w:bidi="en-US"/>
      </w:rPr>
    </w:lvl>
    <w:lvl w:ilvl="4">
      <w:numFmt w:val="bullet"/>
      <w:lvlText w:val="•"/>
      <w:lvlJc w:val="left"/>
      <w:pPr>
        <w:ind w:left="3906" w:hanging="254"/>
      </w:pPr>
      <w:rPr>
        <w:rFonts w:hint="default"/>
        <w:lang w:val="en-US" w:eastAsia="en-US" w:bidi="en-US"/>
      </w:rPr>
    </w:lvl>
    <w:lvl w:ilvl="5">
      <w:numFmt w:val="bullet"/>
      <w:lvlText w:val="•"/>
      <w:lvlJc w:val="left"/>
      <w:pPr>
        <w:ind w:left="4802" w:hanging="254"/>
      </w:pPr>
      <w:rPr>
        <w:rFonts w:hint="default"/>
        <w:lang w:val="en-US" w:eastAsia="en-US" w:bidi="en-US"/>
      </w:rPr>
    </w:lvl>
    <w:lvl w:ilvl="6">
      <w:numFmt w:val="bullet"/>
      <w:lvlText w:val="•"/>
      <w:lvlJc w:val="left"/>
      <w:pPr>
        <w:ind w:left="5697" w:hanging="254"/>
      </w:pPr>
      <w:rPr>
        <w:rFonts w:hint="default"/>
        <w:lang w:val="en-US" w:eastAsia="en-US" w:bidi="en-US"/>
      </w:rPr>
    </w:lvl>
    <w:lvl w:ilvl="7">
      <w:numFmt w:val="bullet"/>
      <w:lvlText w:val="•"/>
      <w:lvlJc w:val="left"/>
      <w:pPr>
        <w:ind w:left="6593" w:hanging="254"/>
      </w:pPr>
      <w:rPr>
        <w:rFonts w:hint="default"/>
        <w:lang w:val="en-US" w:eastAsia="en-US" w:bidi="en-US"/>
      </w:rPr>
    </w:lvl>
    <w:lvl w:ilvl="8">
      <w:numFmt w:val="bullet"/>
      <w:lvlText w:val="•"/>
      <w:lvlJc w:val="left"/>
      <w:pPr>
        <w:ind w:left="7488" w:hanging="254"/>
      </w:pPr>
      <w:rPr>
        <w:rFonts w:hint="default"/>
        <w:lang w:val="en-US" w:eastAsia="en-US" w:bidi="en-US"/>
      </w:rPr>
    </w:lvl>
  </w:abstractNum>
  <w:abstractNum w:abstractNumId="7" w15:restartNumberingAfterBreak="0">
    <w:nsid w:val="28DE7531"/>
    <w:multiLevelType w:val="multilevel"/>
    <w:tmpl w:val="7C1EEC14"/>
    <w:lvl w:ilvl="0">
      <w:start w:val="5"/>
      <w:numFmt w:val="decimal"/>
      <w:lvlText w:val="%1"/>
      <w:lvlJc w:val="left"/>
      <w:pPr>
        <w:ind w:left="850" w:hanging="486"/>
      </w:pPr>
      <w:rPr>
        <w:rFonts w:hint="default"/>
        <w:lang w:val="en-US" w:eastAsia="en-US" w:bidi="en-US"/>
      </w:rPr>
    </w:lvl>
    <w:lvl w:ilvl="1">
      <w:start w:val="1"/>
      <w:numFmt w:val="decimal"/>
      <w:lvlText w:val="%1.%2"/>
      <w:lvlJc w:val="left"/>
      <w:pPr>
        <w:ind w:left="850" w:hanging="486"/>
        <w:jc w:val="right"/>
      </w:pPr>
      <w:rPr>
        <w:rFonts w:ascii="Arial" w:eastAsia="Arial" w:hAnsi="Arial" w:cs="Arial" w:hint="default"/>
        <w:b/>
        <w:bCs/>
        <w:spacing w:val="-4"/>
        <w:w w:val="102"/>
        <w:sz w:val="22"/>
        <w:szCs w:val="22"/>
        <w:lang w:val="en-US" w:eastAsia="en-US" w:bidi="en-US"/>
      </w:rPr>
    </w:lvl>
    <w:lvl w:ilvl="2">
      <w:start w:val="1"/>
      <w:numFmt w:val="lowerLetter"/>
      <w:lvlText w:val="%3."/>
      <w:lvlJc w:val="left"/>
      <w:pPr>
        <w:ind w:left="1167" w:hanging="339"/>
      </w:pPr>
      <w:rPr>
        <w:rFonts w:ascii="Arial" w:eastAsia="Arial" w:hAnsi="Arial" w:cs="Arial" w:hint="default"/>
        <w:spacing w:val="-4"/>
        <w:w w:val="99"/>
        <w:sz w:val="22"/>
        <w:szCs w:val="22"/>
        <w:lang w:val="en-US" w:eastAsia="en-US" w:bidi="en-US"/>
      </w:rPr>
    </w:lvl>
    <w:lvl w:ilvl="3">
      <w:numFmt w:val="bullet"/>
      <w:lvlText w:val="•"/>
      <w:lvlJc w:val="left"/>
      <w:pPr>
        <w:ind w:left="1220" w:hanging="339"/>
      </w:pPr>
      <w:rPr>
        <w:rFonts w:hint="default"/>
        <w:lang w:val="en-US" w:eastAsia="en-US" w:bidi="en-US"/>
      </w:rPr>
    </w:lvl>
    <w:lvl w:ilvl="4">
      <w:numFmt w:val="bullet"/>
      <w:lvlText w:val="•"/>
      <w:lvlJc w:val="left"/>
      <w:pPr>
        <w:ind w:left="2371" w:hanging="339"/>
      </w:pPr>
      <w:rPr>
        <w:rFonts w:hint="default"/>
        <w:lang w:val="en-US" w:eastAsia="en-US" w:bidi="en-US"/>
      </w:rPr>
    </w:lvl>
    <w:lvl w:ilvl="5">
      <w:numFmt w:val="bullet"/>
      <w:lvlText w:val="•"/>
      <w:lvlJc w:val="left"/>
      <w:pPr>
        <w:ind w:left="3522" w:hanging="339"/>
      </w:pPr>
      <w:rPr>
        <w:rFonts w:hint="default"/>
        <w:lang w:val="en-US" w:eastAsia="en-US" w:bidi="en-US"/>
      </w:rPr>
    </w:lvl>
    <w:lvl w:ilvl="6">
      <w:numFmt w:val="bullet"/>
      <w:lvlText w:val="•"/>
      <w:lvlJc w:val="left"/>
      <w:pPr>
        <w:ind w:left="4674" w:hanging="339"/>
      </w:pPr>
      <w:rPr>
        <w:rFonts w:hint="default"/>
        <w:lang w:val="en-US" w:eastAsia="en-US" w:bidi="en-US"/>
      </w:rPr>
    </w:lvl>
    <w:lvl w:ilvl="7">
      <w:numFmt w:val="bullet"/>
      <w:lvlText w:val="•"/>
      <w:lvlJc w:val="left"/>
      <w:pPr>
        <w:ind w:left="5825" w:hanging="339"/>
      </w:pPr>
      <w:rPr>
        <w:rFonts w:hint="default"/>
        <w:lang w:val="en-US" w:eastAsia="en-US" w:bidi="en-US"/>
      </w:rPr>
    </w:lvl>
    <w:lvl w:ilvl="8">
      <w:numFmt w:val="bullet"/>
      <w:lvlText w:val="•"/>
      <w:lvlJc w:val="left"/>
      <w:pPr>
        <w:ind w:left="6977" w:hanging="339"/>
      </w:pPr>
      <w:rPr>
        <w:rFonts w:hint="default"/>
        <w:lang w:val="en-US" w:eastAsia="en-US" w:bidi="en-US"/>
      </w:rPr>
    </w:lvl>
  </w:abstractNum>
  <w:abstractNum w:abstractNumId="8" w15:restartNumberingAfterBreak="0">
    <w:nsid w:val="2AE7216E"/>
    <w:multiLevelType w:val="multilevel"/>
    <w:tmpl w:val="6E8A4650"/>
    <w:lvl w:ilvl="0">
      <w:start w:val="4"/>
      <w:numFmt w:val="decimal"/>
      <w:lvlText w:val="%1"/>
      <w:lvlJc w:val="left"/>
      <w:pPr>
        <w:ind w:left="588" w:hanging="480"/>
      </w:pPr>
      <w:rPr>
        <w:rFonts w:hint="default"/>
        <w:lang w:val="en-US" w:eastAsia="en-US" w:bidi="en-US"/>
      </w:rPr>
    </w:lvl>
    <w:lvl w:ilvl="1">
      <w:start w:val="4"/>
      <w:numFmt w:val="decimal"/>
      <w:lvlText w:val="%1.%2"/>
      <w:lvlJc w:val="left"/>
      <w:pPr>
        <w:ind w:left="588" w:hanging="480"/>
        <w:jc w:val="right"/>
      </w:pPr>
      <w:rPr>
        <w:rFonts w:hint="default"/>
        <w:b/>
        <w:bCs/>
        <w:spacing w:val="0"/>
        <w:w w:val="101"/>
        <w:lang w:val="en-US" w:eastAsia="en-US" w:bidi="en-US"/>
      </w:rPr>
    </w:lvl>
    <w:lvl w:ilvl="2">
      <w:start w:val="1"/>
      <w:numFmt w:val="lowerLetter"/>
      <w:lvlText w:val="%3."/>
      <w:lvlJc w:val="left"/>
      <w:pPr>
        <w:ind w:left="704" w:hanging="257"/>
      </w:pPr>
      <w:rPr>
        <w:rFonts w:ascii="Arial" w:eastAsia="Arial" w:hAnsi="Arial" w:cs="Arial" w:hint="default"/>
        <w:spacing w:val="-2"/>
        <w:w w:val="102"/>
        <w:sz w:val="22"/>
        <w:szCs w:val="22"/>
        <w:lang w:val="en-US" w:eastAsia="en-US" w:bidi="en-US"/>
      </w:rPr>
    </w:lvl>
    <w:lvl w:ilvl="3">
      <w:numFmt w:val="bullet"/>
      <w:lvlText w:val="•"/>
      <w:lvlJc w:val="left"/>
      <w:pPr>
        <w:ind w:left="2606" w:hanging="257"/>
      </w:pPr>
      <w:rPr>
        <w:rFonts w:hint="default"/>
        <w:lang w:val="en-US" w:eastAsia="en-US" w:bidi="en-US"/>
      </w:rPr>
    </w:lvl>
    <w:lvl w:ilvl="4">
      <w:numFmt w:val="bullet"/>
      <w:lvlText w:val="•"/>
      <w:lvlJc w:val="left"/>
      <w:pPr>
        <w:ind w:left="3560" w:hanging="257"/>
      </w:pPr>
      <w:rPr>
        <w:rFonts w:hint="default"/>
        <w:lang w:val="en-US" w:eastAsia="en-US" w:bidi="en-US"/>
      </w:rPr>
    </w:lvl>
    <w:lvl w:ilvl="5">
      <w:numFmt w:val="bullet"/>
      <w:lvlText w:val="•"/>
      <w:lvlJc w:val="left"/>
      <w:pPr>
        <w:ind w:left="4513" w:hanging="257"/>
      </w:pPr>
      <w:rPr>
        <w:rFonts w:hint="default"/>
        <w:lang w:val="en-US" w:eastAsia="en-US" w:bidi="en-US"/>
      </w:rPr>
    </w:lvl>
    <w:lvl w:ilvl="6">
      <w:numFmt w:val="bullet"/>
      <w:lvlText w:val="•"/>
      <w:lvlJc w:val="left"/>
      <w:pPr>
        <w:ind w:left="5466" w:hanging="257"/>
      </w:pPr>
      <w:rPr>
        <w:rFonts w:hint="default"/>
        <w:lang w:val="en-US" w:eastAsia="en-US" w:bidi="en-US"/>
      </w:rPr>
    </w:lvl>
    <w:lvl w:ilvl="7">
      <w:numFmt w:val="bullet"/>
      <w:lvlText w:val="•"/>
      <w:lvlJc w:val="left"/>
      <w:pPr>
        <w:ind w:left="6420" w:hanging="257"/>
      </w:pPr>
      <w:rPr>
        <w:rFonts w:hint="default"/>
        <w:lang w:val="en-US" w:eastAsia="en-US" w:bidi="en-US"/>
      </w:rPr>
    </w:lvl>
    <w:lvl w:ilvl="8">
      <w:numFmt w:val="bullet"/>
      <w:lvlText w:val="•"/>
      <w:lvlJc w:val="left"/>
      <w:pPr>
        <w:ind w:left="7373" w:hanging="257"/>
      </w:pPr>
      <w:rPr>
        <w:rFonts w:hint="default"/>
        <w:lang w:val="en-US" w:eastAsia="en-US" w:bidi="en-US"/>
      </w:rPr>
    </w:lvl>
  </w:abstractNum>
  <w:abstractNum w:abstractNumId="9" w15:restartNumberingAfterBreak="0">
    <w:nsid w:val="301C6A97"/>
    <w:multiLevelType w:val="multilevel"/>
    <w:tmpl w:val="D3C266E8"/>
    <w:lvl w:ilvl="0">
      <w:start w:val="9"/>
      <w:numFmt w:val="decimal"/>
      <w:lvlText w:val="%1"/>
      <w:lvlJc w:val="left"/>
      <w:pPr>
        <w:ind w:left="872" w:hanging="426"/>
      </w:pPr>
      <w:rPr>
        <w:rFonts w:hint="default"/>
        <w:lang w:val="en-US" w:eastAsia="en-US" w:bidi="en-US"/>
      </w:rPr>
    </w:lvl>
    <w:lvl w:ilvl="1">
      <w:start w:val="1"/>
      <w:numFmt w:val="decimal"/>
      <w:lvlText w:val="%1.%2"/>
      <w:lvlJc w:val="left"/>
      <w:pPr>
        <w:ind w:left="872" w:hanging="426"/>
      </w:pPr>
      <w:rPr>
        <w:rFonts w:ascii="Arial" w:eastAsia="Arial" w:hAnsi="Arial" w:cs="Arial" w:hint="default"/>
        <w:b/>
        <w:bCs/>
        <w:spacing w:val="-2"/>
        <w:w w:val="102"/>
        <w:sz w:val="22"/>
        <w:szCs w:val="22"/>
        <w:lang w:val="en-US" w:eastAsia="en-US" w:bidi="en-US"/>
      </w:rPr>
    </w:lvl>
    <w:lvl w:ilvl="2">
      <w:numFmt w:val="bullet"/>
      <w:lvlText w:val="•"/>
      <w:lvlJc w:val="left"/>
      <w:pPr>
        <w:ind w:left="2560" w:hanging="426"/>
      </w:pPr>
      <w:rPr>
        <w:rFonts w:hint="default"/>
        <w:lang w:val="en-US" w:eastAsia="en-US" w:bidi="en-US"/>
      </w:rPr>
    </w:lvl>
    <w:lvl w:ilvl="3">
      <w:numFmt w:val="bullet"/>
      <w:lvlText w:val="•"/>
      <w:lvlJc w:val="left"/>
      <w:pPr>
        <w:ind w:left="3400" w:hanging="426"/>
      </w:pPr>
      <w:rPr>
        <w:rFonts w:hint="default"/>
        <w:lang w:val="en-US" w:eastAsia="en-US" w:bidi="en-US"/>
      </w:rPr>
    </w:lvl>
    <w:lvl w:ilvl="4">
      <w:numFmt w:val="bullet"/>
      <w:lvlText w:val="•"/>
      <w:lvlJc w:val="left"/>
      <w:pPr>
        <w:ind w:left="4240" w:hanging="426"/>
      </w:pPr>
      <w:rPr>
        <w:rFonts w:hint="default"/>
        <w:lang w:val="en-US" w:eastAsia="en-US" w:bidi="en-US"/>
      </w:rPr>
    </w:lvl>
    <w:lvl w:ilvl="5">
      <w:numFmt w:val="bullet"/>
      <w:lvlText w:val="•"/>
      <w:lvlJc w:val="left"/>
      <w:pPr>
        <w:ind w:left="5080" w:hanging="426"/>
      </w:pPr>
      <w:rPr>
        <w:rFonts w:hint="default"/>
        <w:lang w:val="en-US" w:eastAsia="en-US" w:bidi="en-US"/>
      </w:rPr>
    </w:lvl>
    <w:lvl w:ilvl="6">
      <w:numFmt w:val="bullet"/>
      <w:lvlText w:val="•"/>
      <w:lvlJc w:val="left"/>
      <w:pPr>
        <w:ind w:left="5920" w:hanging="426"/>
      </w:pPr>
      <w:rPr>
        <w:rFonts w:hint="default"/>
        <w:lang w:val="en-US" w:eastAsia="en-US" w:bidi="en-US"/>
      </w:rPr>
    </w:lvl>
    <w:lvl w:ilvl="7">
      <w:numFmt w:val="bullet"/>
      <w:lvlText w:val="•"/>
      <w:lvlJc w:val="left"/>
      <w:pPr>
        <w:ind w:left="6760" w:hanging="426"/>
      </w:pPr>
      <w:rPr>
        <w:rFonts w:hint="default"/>
        <w:lang w:val="en-US" w:eastAsia="en-US" w:bidi="en-US"/>
      </w:rPr>
    </w:lvl>
    <w:lvl w:ilvl="8">
      <w:numFmt w:val="bullet"/>
      <w:lvlText w:val="•"/>
      <w:lvlJc w:val="left"/>
      <w:pPr>
        <w:ind w:left="7600" w:hanging="426"/>
      </w:pPr>
      <w:rPr>
        <w:rFonts w:hint="default"/>
        <w:lang w:val="en-US" w:eastAsia="en-US" w:bidi="en-US"/>
      </w:rPr>
    </w:lvl>
  </w:abstractNum>
  <w:abstractNum w:abstractNumId="10" w15:restartNumberingAfterBreak="0">
    <w:nsid w:val="352D2F0F"/>
    <w:multiLevelType w:val="multilevel"/>
    <w:tmpl w:val="110C6A0A"/>
    <w:lvl w:ilvl="0">
      <w:start w:val="6"/>
      <w:numFmt w:val="decimal"/>
      <w:lvlText w:val="%1"/>
      <w:lvlJc w:val="left"/>
      <w:pPr>
        <w:ind w:left="956" w:hanging="509"/>
      </w:pPr>
      <w:rPr>
        <w:rFonts w:hint="default"/>
        <w:lang w:val="en-US" w:eastAsia="en-US" w:bidi="en-US"/>
      </w:rPr>
    </w:lvl>
    <w:lvl w:ilvl="1">
      <w:start w:val="1"/>
      <w:numFmt w:val="decimal"/>
      <w:lvlText w:val="%1.%2"/>
      <w:lvlJc w:val="left"/>
      <w:pPr>
        <w:ind w:left="956" w:hanging="509"/>
        <w:jc w:val="right"/>
      </w:pPr>
      <w:rPr>
        <w:rFonts w:hint="default"/>
        <w:b/>
        <w:bCs/>
        <w:spacing w:val="-2"/>
        <w:w w:val="102"/>
        <w:lang w:val="en-US" w:eastAsia="en-US" w:bidi="en-US"/>
      </w:rPr>
    </w:lvl>
    <w:lvl w:ilvl="2">
      <w:start w:val="1"/>
      <w:numFmt w:val="lowerLetter"/>
      <w:lvlText w:val="%3."/>
      <w:lvlJc w:val="left"/>
      <w:pPr>
        <w:ind w:left="1210" w:hanging="254"/>
      </w:pPr>
      <w:rPr>
        <w:rFonts w:ascii="Arial" w:eastAsia="Arial" w:hAnsi="Arial" w:cs="Arial" w:hint="default"/>
        <w:spacing w:val="-2"/>
        <w:w w:val="102"/>
        <w:sz w:val="22"/>
        <w:szCs w:val="22"/>
        <w:lang w:val="en-US" w:eastAsia="en-US" w:bidi="en-US"/>
      </w:rPr>
    </w:lvl>
    <w:lvl w:ilvl="3">
      <w:numFmt w:val="bullet"/>
      <w:lvlText w:val="•"/>
      <w:lvlJc w:val="left"/>
      <w:pPr>
        <w:ind w:left="3011" w:hanging="254"/>
      </w:pPr>
      <w:rPr>
        <w:rFonts w:hint="default"/>
        <w:lang w:val="en-US" w:eastAsia="en-US" w:bidi="en-US"/>
      </w:rPr>
    </w:lvl>
    <w:lvl w:ilvl="4">
      <w:numFmt w:val="bullet"/>
      <w:lvlText w:val="•"/>
      <w:lvlJc w:val="left"/>
      <w:pPr>
        <w:ind w:left="3906" w:hanging="254"/>
      </w:pPr>
      <w:rPr>
        <w:rFonts w:hint="default"/>
        <w:lang w:val="en-US" w:eastAsia="en-US" w:bidi="en-US"/>
      </w:rPr>
    </w:lvl>
    <w:lvl w:ilvl="5">
      <w:numFmt w:val="bullet"/>
      <w:lvlText w:val="•"/>
      <w:lvlJc w:val="left"/>
      <w:pPr>
        <w:ind w:left="4802" w:hanging="254"/>
      </w:pPr>
      <w:rPr>
        <w:rFonts w:hint="default"/>
        <w:lang w:val="en-US" w:eastAsia="en-US" w:bidi="en-US"/>
      </w:rPr>
    </w:lvl>
    <w:lvl w:ilvl="6">
      <w:numFmt w:val="bullet"/>
      <w:lvlText w:val="•"/>
      <w:lvlJc w:val="left"/>
      <w:pPr>
        <w:ind w:left="5697" w:hanging="254"/>
      </w:pPr>
      <w:rPr>
        <w:rFonts w:hint="default"/>
        <w:lang w:val="en-US" w:eastAsia="en-US" w:bidi="en-US"/>
      </w:rPr>
    </w:lvl>
    <w:lvl w:ilvl="7">
      <w:numFmt w:val="bullet"/>
      <w:lvlText w:val="•"/>
      <w:lvlJc w:val="left"/>
      <w:pPr>
        <w:ind w:left="6593" w:hanging="254"/>
      </w:pPr>
      <w:rPr>
        <w:rFonts w:hint="default"/>
        <w:lang w:val="en-US" w:eastAsia="en-US" w:bidi="en-US"/>
      </w:rPr>
    </w:lvl>
    <w:lvl w:ilvl="8">
      <w:numFmt w:val="bullet"/>
      <w:lvlText w:val="•"/>
      <w:lvlJc w:val="left"/>
      <w:pPr>
        <w:ind w:left="7488" w:hanging="254"/>
      </w:pPr>
      <w:rPr>
        <w:rFonts w:hint="default"/>
        <w:lang w:val="en-US" w:eastAsia="en-US" w:bidi="en-US"/>
      </w:rPr>
    </w:lvl>
  </w:abstractNum>
  <w:abstractNum w:abstractNumId="11" w15:restartNumberingAfterBreak="0">
    <w:nsid w:val="432A72D8"/>
    <w:multiLevelType w:val="multilevel"/>
    <w:tmpl w:val="147297A0"/>
    <w:lvl w:ilvl="0">
      <w:start w:val="6"/>
      <w:numFmt w:val="decimal"/>
      <w:lvlText w:val="%1"/>
      <w:lvlJc w:val="left"/>
      <w:pPr>
        <w:ind w:left="360" w:hanging="360"/>
      </w:pPr>
      <w:rPr>
        <w:rFonts w:hint="default"/>
        <w:b/>
      </w:rPr>
    </w:lvl>
    <w:lvl w:ilvl="1">
      <w:start w:val="6"/>
      <w:numFmt w:val="decimal"/>
      <w:lvlText w:val="%1.%2"/>
      <w:lvlJc w:val="left"/>
      <w:pPr>
        <w:ind w:left="1167" w:hanging="360"/>
      </w:pPr>
      <w:rPr>
        <w:rFonts w:hint="default"/>
        <w:b/>
      </w:rPr>
    </w:lvl>
    <w:lvl w:ilvl="2">
      <w:start w:val="1"/>
      <w:numFmt w:val="decimal"/>
      <w:lvlText w:val="%1.%2.%3"/>
      <w:lvlJc w:val="left"/>
      <w:pPr>
        <w:ind w:left="2334" w:hanging="720"/>
      </w:pPr>
      <w:rPr>
        <w:rFonts w:hint="default"/>
        <w:b/>
      </w:rPr>
    </w:lvl>
    <w:lvl w:ilvl="3">
      <w:start w:val="1"/>
      <w:numFmt w:val="decimal"/>
      <w:lvlText w:val="%1.%2.%3.%4"/>
      <w:lvlJc w:val="left"/>
      <w:pPr>
        <w:ind w:left="3141" w:hanging="720"/>
      </w:pPr>
      <w:rPr>
        <w:rFonts w:hint="default"/>
        <w:b/>
      </w:rPr>
    </w:lvl>
    <w:lvl w:ilvl="4">
      <w:start w:val="1"/>
      <w:numFmt w:val="decimal"/>
      <w:lvlText w:val="%1.%2.%3.%4.%5"/>
      <w:lvlJc w:val="left"/>
      <w:pPr>
        <w:ind w:left="4308" w:hanging="1080"/>
      </w:pPr>
      <w:rPr>
        <w:rFonts w:hint="default"/>
        <w:b/>
      </w:rPr>
    </w:lvl>
    <w:lvl w:ilvl="5">
      <w:start w:val="1"/>
      <w:numFmt w:val="decimal"/>
      <w:lvlText w:val="%1.%2.%3.%4.%5.%6"/>
      <w:lvlJc w:val="left"/>
      <w:pPr>
        <w:ind w:left="5115" w:hanging="1080"/>
      </w:pPr>
      <w:rPr>
        <w:rFonts w:hint="default"/>
        <w:b/>
      </w:rPr>
    </w:lvl>
    <w:lvl w:ilvl="6">
      <w:start w:val="1"/>
      <w:numFmt w:val="decimal"/>
      <w:lvlText w:val="%1.%2.%3.%4.%5.%6.%7"/>
      <w:lvlJc w:val="left"/>
      <w:pPr>
        <w:ind w:left="6282" w:hanging="1440"/>
      </w:pPr>
      <w:rPr>
        <w:rFonts w:hint="default"/>
        <w:b/>
      </w:rPr>
    </w:lvl>
    <w:lvl w:ilvl="7">
      <w:start w:val="1"/>
      <w:numFmt w:val="decimal"/>
      <w:lvlText w:val="%1.%2.%3.%4.%5.%6.%7.%8"/>
      <w:lvlJc w:val="left"/>
      <w:pPr>
        <w:ind w:left="7089" w:hanging="1440"/>
      </w:pPr>
      <w:rPr>
        <w:rFonts w:hint="default"/>
        <w:b/>
      </w:rPr>
    </w:lvl>
    <w:lvl w:ilvl="8">
      <w:start w:val="1"/>
      <w:numFmt w:val="decimal"/>
      <w:lvlText w:val="%1.%2.%3.%4.%5.%6.%7.%8.%9"/>
      <w:lvlJc w:val="left"/>
      <w:pPr>
        <w:ind w:left="8256" w:hanging="1800"/>
      </w:pPr>
      <w:rPr>
        <w:rFonts w:hint="default"/>
        <w:b/>
      </w:rPr>
    </w:lvl>
  </w:abstractNum>
  <w:abstractNum w:abstractNumId="12" w15:restartNumberingAfterBreak="0">
    <w:nsid w:val="50B20DAA"/>
    <w:multiLevelType w:val="multilevel"/>
    <w:tmpl w:val="B554DF2C"/>
    <w:lvl w:ilvl="0">
      <w:start w:val="6"/>
      <w:numFmt w:val="decimal"/>
      <w:lvlText w:val="%1"/>
      <w:lvlJc w:val="left"/>
      <w:pPr>
        <w:ind w:left="360" w:hanging="360"/>
      </w:pPr>
      <w:rPr>
        <w:rFonts w:hint="default"/>
        <w:b/>
      </w:rPr>
    </w:lvl>
    <w:lvl w:ilvl="1">
      <w:start w:val="5"/>
      <w:numFmt w:val="decimal"/>
      <w:lvlText w:val="%1.%2"/>
      <w:lvlJc w:val="left"/>
      <w:pPr>
        <w:ind w:left="807" w:hanging="360"/>
      </w:pPr>
      <w:rPr>
        <w:rFonts w:hint="default"/>
        <w:b/>
      </w:rPr>
    </w:lvl>
    <w:lvl w:ilvl="2">
      <w:start w:val="1"/>
      <w:numFmt w:val="decimal"/>
      <w:lvlText w:val="%1.%2.%3"/>
      <w:lvlJc w:val="left"/>
      <w:pPr>
        <w:ind w:left="1614" w:hanging="720"/>
      </w:pPr>
      <w:rPr>
        <w:rFonts w:hint="default"/>
        <w:b/>
      </w:rPr>
    </w:lvl>
    <w:lvl w:ilvl="3">
      <w:start w:val="1"/>
      <w:numFmt w:val="decimal"/>
      <w:lvlText w:val="%1.%2.%3.%4"/>
      <w:lvlJc w:val="left"/>
      <w:pPr>
        <w:ind w:left="2061" w:hanging="720"/>
      </w:pPr>
      <w:rPr>
        <w:rFonts w:hint="default"/>
        <w:b/>
      </w:rPr>
    </w:lvl>
    <w:lvl w:ilvl="4">
      <w:start w:val="1"/>
      <w:numFmt w:val="decimal"/>
      <w:lvlText w:val="%1.%2.%3.%4.%5"/>
      <w:lvlJc w:val="left"/>
      <w:pPr>
        <w:ind w:left="2868" w:hanging="1080"/>
      </w:pPr>
      <w:rPr>
        <w:rFonts w:hint="default"/>
        <w:b/>
      </w:rPr>
    </w:lvl>
    <w:lvl w:ilvl="5">
      <w:start w:val="1"/>
      <w:numFmt w:val="decimal"/>
      <w:lvlText w:val="%1.%2.%3.%4.%5.%6"/>
      <w:lvlJc w:val="left"/>
      <w:pPr>
        <w:ind w:left="3315" w:hanging="1080"/>
      </w:pPr>
      <w:rPr>
        <w:rFonts w:hint="default"/>
        <w:b/>
      </w:rPr>
    </w:lvl>
    <w:lvl w:ilvl="6">
      <w:start w:val="1"/>
      <w:numFmt w:val="decimal"/>
      <w:lvlText w:val="%1.%2.%3.%4.%5.%6.%7"/>
      <w:lvlJc w:val="left"/>
      <w:pPr>
        <w:ind w:left="4122" w:hanging="1440"/>
      </w:pPr>
      <w:rPr>
        <w:rFonts w:hint="default"/>
        <w:b/>
      </w:rPr>
    </w:lvl>
    <w:lvl w:ilvl="7">
      <w:start w:val="1"/>
      <w:numFmt w:val="decimal"/>
      <w:lvlText w:val="%1.%2.%3.%4.%5.%6.%7.%8"/>
      <w:lvlJc w:val="left"/>
      <w:pPr>
        <w:ind w:left="4569" w:hanging="1440"/>
      </w:pPr>
      <w:rPr>
        <w:rFonts w:hint="default"/>
        <w:b/>
      </w:rPr>
    </w:lvl>
    <w:lvl w:ilvl="8">
      <w:start w:val="1"/>
      <w:numFmt w:val="decimal"/>
      <w:lvlText w:val="%1.%2.%3.%4.%5.%6.%7.%8.%9"/>
      <w:lvlJc w:val="left"/>
      <w:pPr>
        <w:ind w:left="5376" w:hanging="1800"/>
      </w:pPr>
      <w:rPr>
        <w:rFonts w:hint="default"/>
        <w:b/>
      </w:rPr>
    </w:lvl>
  </w:abstractNum>
  <w:abstractNum w:abstractNumId="13" w15:restartNumberingAfterBreak="0">
    <w:nsid w:val="520D0AE5"/>
    <w:multiLevelType w:val="multilevel"/>
    <w:tmpl w:val="2F568358"/>
    <w:lvl w:ilvl="0">
      <w:start w:val="8"/>
      <w:numFmt w:val="decimal"/>
      <w:lvlText w:val="%1"/>
      <w:lvlJc w:val="left"/>
      <w:pPr>
        <w:ind w:left="872" w:hanging="426"/>
      </w:pPr>
      <w:rPr>
        <w:rFonts w:hint="default"/>
        <w:lang w:val="en-US" w:eastAsia="en-US" w:bidi="en-US"/>
      </w:rPr>
    </w:lvl>
    <w:lvl w:ilvl="1">
      <w:start w:val="1"/>
      <w:numFmt w:val="decimal"/>
      <w:lvlText w:val="%1.%2"/>
      <w:lvlJc w:val="left"/>
      <w:pPr>
        <w:ind w:left="872" w:hanging="426"/>
      </w:pPr>
      <w:rPr>
        <w:rFonts w:ascii="Arial" w:eastAsia="Arial" w:hAnsi="Arial" w:cs="Arial" w:hint="default"/>
        <w:b/>
        <w:bCs/>
        <w:spacing w:val="-2"/>
        <w:w w:val="102"/>
        <w:sz w:val="22"/>
        <w:szCs w:val="22"/>
        <w:lang w:val="en-US" w:eastAsia="en-US" w:bidi="en-US"/>
      </w:rPr>
    </w:lvl>
    <w:lvl w:ilvl="2">
      <w:numFmt w:val="bullet"/>
      <w:lvlText w:val="•"/>
      <w:lvlJc w:val="left"/>
      <w:pPr>
        <w:ind w:left="2560" w:hanging="426"/>
      </w:pPr>
      <w:rPr>
        <w:rFonts w:hint="default"/>
        <w:lang w:val="en-US" w:eastAsia="en-US" w:bidi="en-US"/>
      </w:rPr>
    </w:lvl>
    <w:lvl w:ilvl="3">
      <w:numFmt w:val="bullet"/>
      <w:lvlText w:val="•"/>
      <w:lvlJc w:val="left"/>
      <w:pPr>
        <w:ind w:left="3400" w:hanging="426"/>
      </w:pPr>
      <w:rPr>
        <w:rFonts w:hint="default"/>
        <w:lang w:val="en-US" w:eastAsia="en-US" w:bidi="en-US"/>
      </w:rPr>
    </w:lvl>
    <w:lvl w:ilvl="4">
      <w:numFmt w:val="bullet"/>
      <w:lvlText w:val="•"/>
      <w:lvlJc w:val="left"/>
      <w:pPr>
        <w:ind w:left="4240" w:hanging="426"/>
      </w:pPr>
      <w:rPr>
        <w:rFonts w:hint="default"/>
        <w:lang w:val="en-US" w:eastAsia="en-US" w:bidi="en-US"/>
      </w:rPr>
    </w:lvl>
    <w:lvl w:ilvl="5">
      <w:numFmt w:val="bullet"/>
      <w:lvlText w:val="•"/>
      <w:lvlJc w:val="left"/>
      <w:pPr>
        <w:ind w:left="5080" w:hanging="426"/>
      </w:pPr>
      <w:rPr>
        <w:rFonts w:hint="default"/>
        <w:lang w:val="en-US" w:eastAsia="en-US" w:bidi="en-US"/>
      </w:rPr>
    </w:lvl>
    <w:lvl w:ilvl="6">
      <w:numFmt w:val="bullet"/>
      <w:lvlText w:val="•"/>
      <w:lvlJc w:val="left"/>
      <w:pPr>
        <w:ind w:left="5920" w:hanging="426"/>
      </w:pPr>
      <w:rPr>
        <w:rFonts w:hint="default"/>
        <w:lang w:val="en-US" w:eastAsia="en-US" w:bidi="en-US"/>
      </w:rPr>
    </w:lvl>
    <w:lvl w:ilvl="7">
      <w:numFmt w:val="bullet"/>
      <w:lvlText w:val="•"/>
      <w:lvlJc w:val="left"/>
      <w:pPr>
        <w:ind w:left="6760" w:hanging="426"/>
      </w:pPr>
      <w:rPr>
        <w:rFonts w:hint="default"/>
        <w:lang w:val="en-US" w:eastAsia="en-US" w:bidi="en-US"/>
      </w:rPr>
    </w:lvl>
    <w:lvl w:ilvl="8">
      <w:numFmt w:val="bullet"/>
      <w:lvlText w:val="•"/>
      <w:lvlJc w:val="left"/>
      <w:pPr>
        <w:ind w:left="7600" w:hanging="426"/>
      </w:pPr>
      <w:rPr>
        <w:rFonts w:hint="default"/>
        <w:lang w:val="en-US" w:eastAsia="en-US" w:bidi="en-US"/>
      </w:rPr>
    </w:lvl>
  </w:abstractNum>
  <w:abstractNum w:abstractNumId="14" w15:restartNumberingAfterBreak="0">
    <w:nsid w:val="5E1D4EAF"/>
    <w:multiLevelType w:val="multilevel"/>
    <w:tmpl w:val="88B86A88"/>
    <w:lvl w:ilvl="0">
      <w:start w:val="6"/>
      <w:numFmt w:val="decimal"/>
      <w:lvlText w:val="%1"/>
      <w:lvlJc w:val="left"/>
      <w:pPr>
        <w:ind w:left="360" w:hanging="360"/>
      </w:pPr>
      <w:rPr>
        <w:rFonts w:hint="default"/>
        <w:b/>
      </w:rPr>
    </w:lvl>
    <w:lvl w:ilvl="1">
      <w:start w:val="6"/>
      <w:numFmt w:val="decimal"/>
      <w:lvlText w:val="%1.%2"/>
      <w:lvlJc w:val="left"/>
      <w:pPr>
        <w:ind w:left="785" w:hanging="360"/>
      </w:pPr>
      <w:rPr>
        <w:rFonts w:hint="default"/>
        <w:b/>
      </w:rPr>
    </w:lvl>
    <w:lvl w:ilvl="2">
      <w:start w:val="1"/>
      <w:numFmt w:val="decimal"/>
      <w:lvlText w:val="%1.%2.%3"/>
      <w:lvlJc w:val="left"/>
      <w:pPr>
        <w:ind w:left="1430" w:hanging="720"/>
      </w:pPr>
      <w:rPr>
        <w:rFonts w:hint="default"/>
        <w:b/>
      </w:rPr>
    </w:lvl>
    <w:lvl w:ilvl="3">
      <w:start w:val="1"/>
      <w:numFmt w:val="decimal"/>
      <w:lvlText w:val="%1.%2.%3.%4"/>
      <w:lvlJc w:val="left"/>
      <w:pPr>
        <w:ind w:left="1785" w:hanging="720"/>
      </w:pPr>
      <w:rPr>
        <w:rFonts w:hint="default"/>
        <w:b/>
      </w:rPr>
    </w:lvl>
    <w:lvl w:ilvl="4">
      <w:start w:val="1"/>
      <w:numFmt w:val="decimal"/>
      <w:lvlText w:val="%1.%2.%3.%4.%5"/>
      <w:lvlJc w:val="left"/>
      <w:pPr>
        <w:ind w:left="2500" w:hanging="1080"/>
      </w:pPr>
      <w:rPr>
        <w:rFonts w:hint="default"/>
        <w:b/>
      </w:rPr>
    </w:lvl>
    <w:lvl w:ilvl="5">
      <w:start w:val="1"/>
      <w:numFmt w:val="decimal"/>
      <w:lvlText w:val="%1.%2.%3.%4.%5.%6"/>
      <w:lvlJc w:val="left"/>
      <w:pPr>
        <w:ind w:left="2855" w:hanging="1080"/>
      </w:pPr>
      <w:rPr>
        <w:rFonts w:hint="default"/>
        <w:b/>
      </w:rPr>
    </w:lvl>
    <w:lvl w:ilvl="6">
      <w:start w:val="1"/>
      <w:numFmt w:val="decimal"/>
      <w:lvlText w:val="%1.%2.%3.%4.%5.%6.%7"/>
      <w:lvlJc w:val="left"/>
      <w:pPr>
        <w:ind w:left="3570" w:hanging="1440"/>
      </w:pPr>
      <w:rPr>
        <w:rFonts w:hint="default"/>
        <w:b/>
      </w:rPr>
    </w:lvl>
    <w:lvl w:ilvl="7">
      <w:start w:val="1"/>
      <w:numFmt w:val="decimal"/>
      <w:lvlText w:val="%1.%2.%3.%4.%5.%6.%7.%8"/>
      <w:lvlJc w:val="left"/>
      <w:pPr>
        <w:ind w:left="3925" w:hanging="1440"/>
      </w:pPr>
      <w:rPr>
        <w:rFonts w:hint="default"/>
        <w:b/>
      </w:rPr>
    </w:lvl>
    <w:lvl w:ilvl="8">
      <w:start w:val="1"/>
      <w:numFmt w:val="decimal"/>
      <w:lvlText w:val="%1.%2.%3.%4.%5.%6.%7.%8.%9"/>
      <w:lvlJc w:val="left"/>
      <w:pPr>
        <w:ind w:left="4640" w:hanging="1800"/>
      </w:pPr>
      <w:rPr>
        <w:rFonts w:hint="default"/>
        <w:b/>
      </w:rPr>
    </w:lvl>
  </w:abstractNum>
  <w:abstractNum w:abstractNumId="15" w15:restartNumberingAfterBreak="0">
    <w:nsid w:val="62604D1A"/>
    <w:multiLevelType w:val="hybridMultilevel"/>
    <w:tmpl w:val="5310E78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7DB0FC1"/>
    <w:multiLevelType w:val="hybridMultilevel"/>
    <w:tmpl w:val="359AC78E"/>
    <w:lvl w:ilvl="0" w:tplc="1A106044">
      <w:start w:val="1"/>
      <w:numFmt w:val="lowerRoman"/>
      <w:lvlText w:val="(%1)"/>
      <w:lvlJc w:val="left"/>
      <w:pPr>
        <w:ind w:left="1380" w:hanging="339"/>
      </w:pPr>
      <w:rPr>
        <w:rFonts w:ascii="Arial" w:eastAsia="Arial" w:hAnsi="Arial" w:cs="Arial" w:hint="default"/>
        <w:spacing w:val="-3"/>
        <w:w w:val="102"/>
        <w:sz w:val="22"/>
        <w:szCs w:val="22"/>
        <w:lang w:val="en-US" w:eastAsia="en-US" w:bidi="en-US"/>
      </w:rPr>
    </w:lvl>
    <w:lvl w:ilvl="1" w:tplc="96D276E4">
      <w:numFmt w:val="bullet"/>
      <w:lvlText w:val="•"/>
      <w:lvlJc w:val="left"/>
      <w:pPr>
        <w:ind w:left="1380" w:hanging="339"/>
      </w:pPr>
      <w:rPr>
        <w:rFonts w:hint="default"/>
        <w:lang w:val="en-US" w:eastAsia="en-US" w:bidi="en-US"/>
      </w:rPr>
    </w:lvl>
    <w:lvl w:ilvl="2" w:tplc="A21C887E">
      <w:numFmt w:val="bullet"/>
      <w:lvlText w:val="•"/>
      <w:lvlJc w:val="left"/>
      <w:pPr>
        <w:ind w:left="2257" w:hanging="339"/>
      </w:pPr>
      <w:rPr>
        <w:rFonts w:hint="default"/>
        <w:lang w:val="en-US" w:eastAsia="en-US" w:bidi="en-US"/>
      </w:rPr>
    </w:lvl>
    <w:lvl w:ilvl="3" w:tplc="E180982E">
      <w:numFmt w:val="bullet"/>
      <w:lvlText w:val="•"/>
      <w:lvlJc w:val="left"/>
      <w:pPr>
        <w:ind w:left="3135" w:hanging="339"/>
      </w:pPr>
      <w:rPr>
        <w:rFonts w:hint="default"/>
        <w:lang w:val="en-US" w:eastAsia="en-US" w:bidi="en-US"/>
      </w:rPr>
    </w:lvl>
    <w:lvl w:ilvl="4" w:tplc="BED0C008">
      <w:numFmt w:val="bullet"/>
      <w:lvlText w:val="•"/>
      <w:lvlJc w:val="left"/>
      <w:pPr>
        <w:ind w:left="4013" w:hanging="339"/>
      </w:pPr>
      <w:rPr>
        <w:rFonts w:hint="default"/>
        <w:lang w:val="en-US" w:eastAsia="en-US" w:bidi="en-US"/>
      </w:rPr>
    </w:lvl>
    <w:lvl w:ilvl="5" w:tplc="99722B58">
      <w:numFmt w:val="bullet"/>
      <w:lvlText w:val="•"/>
      <w:lvlJc w:val="left"/>
      <w:pPr>
        <w:ind w:left="4891" w:hanging="339"/>
      </w:pPr>
      <w:rPr>
        <w:rFonts w:hint="default"/>
        <w:lang w:val="en-US" w:eastAsia="en-US" w:bidi="en-US"/>
      </w:rPr>
    </w:lvl>
    <w:lvl w:ilvl="6" w:tplc="5DACE526">
      <w:numFmt w:val="bullet"/>
      <w:lvlText w:val="•"/>
      <w:lvlJc w:val="left"/>
      <w:pPr>
        <w:ind w:left="5768" w:hanging="339"/>
      </w:pPr>
      <w:rPr>
        <w:rFonts w:hint="default"/>
        <w:lang w:val="en-US" w:eastAsia="en-US" w:bidi="en-US"/>
      </w:rPr>
    </w:lvl>
    <w:lvl w:ilvl="7" w:tplc="A9E2E8DA">
      <w:numFmt w:val="bullet"/>
      <w:lvlText w:val="•"/>
      <w:lvlJc w:val="left"/>
      <w:pPr>
        <w:ind w:left="6646" w:hanging="339"/>
      </w:pPr>
      <w:rPr>
        <w:rFonts w:hint="default"/>
        <w:lang w:val="en-US" w:eastAsia="en-US" w:bidi="en-US"/>
      </w:rPr>
    </w:lvl>
    <w:lvl w:ilvl="8" w:tplc="7A56D232">
      <w:numFmt w:val="bullet"/>
      <w:lvlText w:val="•"/>
      <w:lvlJc w:val="left"/>
      <w:pPr>
        <w:ind w:left="7524" w:hanging="339"/>
      </w:pPr>
      <w:rPr>
        <w:rFonts w:hint="default"/>
        <w:lang w:val="en-US" w:eastAsia="en-US" w:bidi="en-US"/>
      </w:rPr>
    </w:lvl>
  </w:abstractNum>
  <w:abstractNum w:abstractNumId="17" w15:restartNumberingAfterBreak="0">
    <w:nsid w:val="6CEB4EFD"/>
    <w:multiLevelType w:val="multilevel"/>
    <w:tmpl w:val="4BCC1F60"/>
    <w:lvl w:ilvl="0">
      <w:start w:val="1"/>
      <w:numFmt w:val="decimal"/>
      <w:lvlText w:val="%1."/>
      <w:lvlJc w:val="left"/>
      <w:pPr>
        <w:tabs>
          <w:tab w:val="num" w:pos="720"/>
        </w:tabs>
        <w:ind w:left="720" w:hanging="360"/>
      </w:pPr>
    </w:lvl>
    <w:lvl w:ilvl="1">
      <w:start w:val="4"/>
      <w:numFmt w:val="bullet"/>
      <w:lvlText w:val=""/>
      <w:lvlJc w:val="left"/>
      <w:pPr>
        <w:ind w:left="1440" w:hanging="360"/>
      </w:pPr>
      <w:rPr>
        <w:rFonts w:ascii="Wingdings" w:eastAsia="Times New Roman" w:hAnsi="Wingdings"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F14668B"/>
    <w:multiLevelType w:val="multilevel"/>
    <w:tmpl w:val="6E6A6DAA"/>
    <w:lvl w:ilvl="0">
      <w:start w:val="6"/>
      <w:numFmt w:val="decimal"/>
      <w:lvlText w:val="%1"/>
      <w:lvlJc w:val="left"/>
      <w:pPr>
        <w:ind w:left="360" w:hanging="360"/>
      </w:pPr>
      <w:rPr>
        <w:rFonts w:hint="default"/>
        <w:b/>
      </w:rPr>
    </w:lvl>
    <w:lvl w:ilvl="1">
      <w:start w:val="6"/>
      <w:numFmt w:val="decimal"/>
      <w:lvlText w:val="%1.%2"/>
      <w:lvlJc w:val="left"/>
      <w:pPr>
        <w:ind w:left="355" w:hanging="360"/>
      </w:pPr>
      <w:rPr>
        <w:rFonts w:hint="default"/>
        <w:b/>
      </w:rPr>
    </w:lvl>
    <w:lvl w:ilvl="2">
      <w:start w:val="1"/>
      <w:numFmt w:val="decimal"/>
      <w:lvlText w:val="%1.%2.%3"/>
      <w:lvlJc w:val="left"/>
      <w:pPr>
        <w:ind w:left="710" w:hanging="720"/>
      </w:pPr>
      <w:rPr>
        <w:rFonts w:hint="default"/>
        <w:b/>
      </w:rPr>
    </w:lvl>
    <w:lvl w:ilvl="3">
      <w:start w:val="1"/>
      <w:numFmt w:val="decimal"/>
      <w:lvlText w:val="%1.%2.%3.%4"/>
      <w:lvlJc w:val="left"/>
      <w:pPr>
        <w:ind w:left="705" w:hanging="720"/>
      </w:pPr>
      <w:rPr>
        <w:rFonts w:hint="default"/>
        <w:b/>
      </w:rPr>
    </w:lvl>
    <w:lvl w:ilvl="4">
      <w:start w:val="1"/>
      <w:numFmt w:val="decimal"/>
      <w:lvlText w:val="%1.%2.%3.%4.%5"/>
      <w:lvlJc w:val="left"/>
      <w:pPr>
        <w:ind w:left="1060" w:hanging="1080"/>
      </w:pPr>
      <w:rPr>
        <w:rFonts w:hint="default"/>
        <w:b/>
      </w:rPr>
    </w:lvl>
    <w:lvl w:ilvl="5">
      <w:start w:val="1"/>
      <w:numFmt w:val="decimal"/>
      <w:lvlText w:val="%1.%2.%3.%4.%5.%6"/>
      <w:lvlJc w:val="left"/>
      <w:pPr>
        <w:ind w:left="1055" w:hanging="1080"/>
      </w:pPr>
      <w:rPr>
        <w:rFonts w:hint="default"/>
        <w:b/>
      </w:rPr>
    </w:lvl>
    <w:lvl w:ilvl="6">
      <w:start w:val="1"/>
      <w:numFmt w:val="decimal"/>
      <w:lvlText w:val="%1.%2.%3.%4.%5.%6.%7"/>
      <w:lvlJc w:val="left"/>
      <w:pPr>
        <w:ind w:left="1410" w:hanging="1440"/>
      </w:pPr>
      <w:rPr>
        <w:rFonts w:hint="default"/>
        <w:b/>
      </w:rPr>
    </w:lvl>
    <w:lvl w:ilvl="7">
      <w:start w:val="1"/>
      <w:numFmt w:val="decimal"/>
      <w:lvlText w:val="%1.%2.%3.%4.%5.%6.%7.%8"/>
      <w:lvlJc w:val="left"/>
      <w:pPr>
        <w:ind w:left="1405" w:hanging="1440"/>
      </w:pPr>
      <w:rPr>
        <w:rFonts w:hint="default"/>
        <w:b/>
      </w:rPr>
    </w:lvl>
    <w:lvl w:ilvl="8">
      <w:start w:val="1"/>
      <w:numFmt w:val="decimal"/>
      <w:lvlText w:val="%1.%2.%3.%4.%5.%6.%7.%8.%9"/>
      <w:lvlJc w:val="left"/>
      <w:pPr>
        <w:ind w:left="1760" w:hanging="1800"/>
      </w:pPr>
      <w:rPr>
        <w:rFonts w:hint="default"/>
        <w:b/>
      </w:rPr>
    </w:lvl>
  </w:abstractNum>
  <w:num w:numId="1">
    <w:abstractNumId w:val="9"/>
  </w:num>
  <w:num w:numId="2">
    <w:abstractNumId w:val="13"/>
  </w:num>
  <w:num w:numId="3">
    <w:abstractNumId w:val="6"/>
  </w:num>
  <w:num w:numId="4">
    <w:abstractNumId w:val="7"/>
  </w:num>
  <w:num w:numId="5">
    <w:abstractNumId w:val="8"/>
  </w:num>
  <w:num w:numId="6">
    <w:abstractNumId w:val="4"/>
  </w:num>
  <w:num w:numId="7">
    <w:abstractNumId w:val="16"/>
  </w:num>
  <w:num w:numId="8">
    <w:abstractNumId w:val="5"/>
  </w:num>
  <w:num w:numId="9">
    <w:abstractNumId w:val="1"/>
  </w:num>
  <w:num w:numId="10">
    <w:abstractNumId w:val="3"/>
  </w:num>
  <w:num w:numId="11">
    <w:abstractNumId w:val="10"/>
  </w:num>
  <w:num w:numId="12">
    <w:abstractNumId w:val="15"/>
  </w:num>
  <w:num w:numId="13">
    <w:abstractNumId w:val="12"/>
  </w:num>
  <w:num w:numId="14">
    <w:abstractNumId w:val="17"/>
  </w:num>
  <w:num w:numId="15">
    <w:abstractNumId w:val="0"/>
  </w:num>
  <w:num w:numId="16">
    <w:abstractNumId w:val="2"/>
  </w:num>
  <w:num w:numId="17">
    <w:abstractNumId w:val="11"/>
  </w:num>
  <w:num w:numId="18">
    <w:abstractNumId w:val="18"/>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574"/>
    <w:rsid w:val="00022E58"/>
    <w:rsid w:val="0003569C"/>
    <w:rsid w:val="00047570"/>
    <w:rsid w:val="00063318"/>
    <w:rsid w:val="000E5B3C"/>
    <w:rsid w:val="000E63F5"/>
    <w:rsid w:val="0010714E"/>
    <w:rsid w:val="00177918"/>
    <w:rsid w:val="001853CE"/>
    <w:rsid w:val="001B1194"/>
    <w:rsid w:val="001C3B6B"/>
    <w:rsid w:val="002649B1"/>
    <w:rsid w:val="00270873"/>
    <w:rsid w:val="002A1C43"/>
    <w:rsid w:val="002C374B"/>
    <w:rsid w:val="00306413"/>
    <w:rsid w:val="00342519"/>
    <w:rsid w:val="0034673D"/>
    <w:rsid w:val="0036341A"/>
    <w:rsid w:val="0036635D"/>
    <w:rsid w:val="003C5475"/>
    <w:rsid w:val="00436306"/>
    <w:rsid w:val="00475CEB"/>
    <w:rsid w:val="004814FD"/>
    <w:rsid w:val="004B1159"/>
    <w:rsid w:val="00541004"/>
    <w:rsid w:val="00552B85"/>
    <w:rsid w:val="00567D0C"/>
    <w:rsid w:val="00574DBD"/>
    <w:rsid w:val="005767CD"/>
    <w:rsid w:val="005F520D"/>
    <w:rsid w:val="00644508"/>
    <w:rsid w:val="00663811"/>
    <w:rsid w:val="00682D90"/>
    <w:rsid w:val="00692E68"/>
    <w:rsid w:val="006B0C06"/>
    <w:rsid w:val="006D0FF9"/>
    <w:rsid w:val="006E34E6"/>
    <w:rsid w:val="006F0671"/>
    <w:rsid w:val="00703EF0"/>
    <w:rsid w:val="0070432B"/>
    <w:rsid w:val="007471DF"/>
    <w:rsid w:val="00753CBF"/>
    <w:rsid w:val="00761692"/>
    <w:rsid w:val="00794BC1"/>
    <w:rsid w:val="007E4495"/>
    <w:rsid w:val="0080556E"/>
    <w:rsid w:val="00813B9E"/>
    <w:rsid w:val="00813CC0"/>
    <w:rsid w:val="00815B7B"/>
    <w:rsid w:val="008341A2"/>
    <w:rsid w:val="00844223"/>
    <w:rsid w:val="00853FD5"/>
    <w:rsid w:val="008873F4"/>
    <w:rsid w:val="00896AFE"/>
    <w:rsid w:val="008B6E95"/>
    <w:rsid w:val="008B7AB3"/>
    <w:rsid w:val="008D379E"/>
    <w:rsid w:val="008F1780"/>
    <w:rsid w:val="008F47B8"/>
    <w:rsid w:val="008F74BC"/>
    <w:rsid w:val="00921CF6"/>
    <w:rsid w:val="00921EEC"/>
    <w:rsid w:val="00936476"/>
    <w:rsid w:val="00940A48"/>
    <w:rsid w:val="00973DB8"/>
    <w:rsid w:val="009749D3"/>
    <w:rsid w:val="009752F1"/>
    <w:rsid w:val="009D466F"/>
    <w:rsid w:val="009F25AA"/>
    <w:rsid w:val="00A00340"/>
    <w:rsid w:val="00A06574"/>
    <w:rsid w:val="00A13994"/>
    <w:rsid w:val="00A506F4"/>
    <w:rsid w:val="00A75BE2"/>
    <w:rsid w:val="00A76B1C"/>
    <w:rsid w:val="00A92597"/>
    <w:rsid w:val="00A95A09"/>
    <w:rsid w:val="00AA0DA7"/>
    <w:rsid w:val="00AF3B33"/>
    <w:rsid w:val="00B31357"/>
    <w:rsid w:val="00B54EC0"/>
    <w:rsid w:val="00B64DB9"/>
    <w:rsid w:val="00BF19D8"/>
    <w:rsid w:val="00C01E9F"/>
    <w:rsid w:val="00C74CF5"/>
    <w:rsid w:val="00CD0F30"/>
    <w:rsid w:val="00CF522F"/>
    <w:rsid w:val="00D359B1"/>
    <w:rsid w:val="00D748E6"/>
    <w:rsid w:val="00D74AA1"/>
    <w:rsid w:val="00DC4F9C"/>
    <w:rsid w:val="00DD1162"/>
    <w:rsid w:val="00DE0C9E"/>
    <w:rsid w:val="00EA11D8"/>
    <w:rsid w:val="00EB48E8"/>
    <w:rsid w:val="00EC7FBF"/>
    <w:rsid w:val="00ED72A7"/>
    <w:rsid w:val="00F06CB4"/>
    <w:rsid w:val="00F63164"/>
    <w:rsid w:val="00FB3CDE"/>
    <w:rsid w:val="00FC1D99"/>
    <w:rsid w:val="00FE05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54C8FD"/>
  <w15:chartTrackingRefBased/>
  <w15:docId w15:val="{EFA8DBF9-00A0-4593-A7AD-D99F11B95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A06574"/>
    <w:pPr>
      <w:widowControl w:val="0"/>
      <w:autoSpaceDE w:val="0"/>
      <w:autoSpaceDN w:val="0"/>
      <w:spacing w:after="0" w:line="240" w:lineRule="auto"/>
    </w:pPr>
    <w:rPr>
      <w:rFonts w:ascii="Arial" w:eastAsia="Arial" w:hAnsi="Arial" w:cs="Arial"/>
      <w:lang w:bidi="en-US"/>
    </w:rPr>
  </w:style>
  <w:style w:type="paragraph" w:styleId="Heading1">
    <w:name w:val="heading 1"/>
    <w:basedOn w:val="Normal"/>
    <w:link w:val="Heading1Char"/>
    <w:uiPriority w:val="1"/>
    <w:qFormat/>
    <w:rsid w:val="00A06574"/>
    <w:pPr>
      <w:ind w:left="533" w:hanging="426"/>
      <w:outlineLvl w:val="0"/>
    </w:pPr>
    <w:rPr>
      <w:b/>
      <w:bCs/>
      <w:sz w:val="24"/>
      <w:szCs w:val="24"/>
    </w:rPr>
  </w:style>
  <w:style w:type="paragraph" w:styleId="Heading2">
    <w:name w:val="heading 2"/>
    <w:basedOn w:val="Normal"/>
    <w:link w:val="Heading2Char"/>
    <w:uiPriority w:val="1"/>
    <w:qFormat/>
    <w:rsid w:val="00A06574"/>
    <w:pPr>
      <w:ind w:left="872" w:hanging="426"/>
      <w:outlineLvl w:val="1"/>
    </w:pPr>
    <w:rPr>
      <w:b/>
      <w:bCs/>
    </w:rPr>
  </w:style>
  <w:style w:type="paragraph" w:styleId="Heading3">
    <w:name w:val="heading 3"/>
    <w:basedOn w:val="Normal"/>
    <w:next w:val="Normal"/>
    <w:link w:val="Heading3Char"/>
    <w:uiPriority w:val="9"/>
    <w:semiHidden/>
    <w:unhideWhenUsed/>
    <w:qFormat/>
    <w:rsid w:val="006B0C06"/>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A06574"/>
    <w:rPr>
      <w:rFonts w:ascii="Arial" w:eastAsia="Arial" w:hAnsi="Arial" w:cs="Arial"/>
      <w:b/>
      <w:bCs/>
      <w:sz w:val="24"/>
      <w:szCs w:val="24"/>
      <w:lang w:bidi="en-US"/>
    </w:rPr>
  </w:style>
  <w:style w:type="character" w:customStyle="1" w:styleId="Heading2Char">
    <w:name w:val="Heading 2 Char"/>
    <w:basedOn w:val="DefaultParagraphFont"/>
    <w:link w:val="Heading2"/>
    <w:uiPriority w:val="1"/>
    <w:rsid w:val="00A06574"/>
    <w:rPr>
      <w:rFonts w:ascii="Arial" w:eastAsia="Arial" w:hAnsi="Arial" w:cs="Arial"/>
      <w:b/>
      <w:bCs/>
      <w:lang w:bidi="en-US"/>
    </w:rPr>
  </w:style>
  <w:style w:type="paragraph" w:styleId="TOC1">
    <w:name w:val="toc 1"/>
    <w:basedOn w:val="Normal"/>
    <w:uiPriority w:val="1"/>
    <w:qFormat/>
    <w:rsid w:val="00A06574"/>
    <w:pPr>
      <w:spacing w:before="119"/>
      <w:ind w:left="785" w:right="698" w:hanging="786"/>
      <w:jc w:val="right"/>
    </w:pPr>
    <w:rPr>
      <w:b/>
      <w:bCs/>
      <w:sz w:val="18"/>
      <w:szCs w:val="18"/>
    </w:rPr>
  </w:style>
  <w:style w:type="paragraph" w:styleId="BodyText">
    <w:name w:val="Body Text"/>
    <w:basedOn w:val="Normal"/>
    <w:link w:val="BodyTextChar"/>
    <w:uiPriority w:val="1"/>
    <w:qFormat/>
    <w:rsid w:val="00A06574"/>
  </w:style>
  <w:style w:type="character" w:customStyle="1" w:styleId="BodyTextChar">
    <w:name w:val="Body Text Char"/>
    <w:basedOn w:val="DefaultParagraphFont"/>
    <w:link w:val="BodyText"/>
    <w:uiPriority w:val="1"/>
    <w:rsid w:val="00A06574"/>
    <w:rPr>
      <w:rFonts w:ascii="Arial" w:eastAsia="Arial" w:hAnsi="Arial" w:cs="Arial"/>
      <w:lang w:bidi="en-US"/>
    </w:rPr>
  </w:style>
  <w:style w:type="paragraph" w:styleId="ListParagraph">
    <w:name w:val="List Paragraph"/>
    <w:basedOn w:val="Normal"/>
    <w:uiPriority w:val="1"/>
    <w:qFormat/>
    <w:rsid w:val="00A06574"/>
    <w:pPr>
      <w:ind w:left="785" w:hanging="786"/>
    </w:pPr>
  </w:style>
  <w:style w:type="paragraph" w:customStyle="1" w:styleId="TableParagraph">
    <w:name w:val="Table Paragraph"/>
    <w:basedOn w:val="Normal"/>
    <w:uiPriority w:val="1"/>
    <w:qFormat/>
    <w:rsid w:val="00A06574"/>
  </w:style>
  <w:style w:type="paragraph" w:styleId="BalloonText">
    <w:name w:val="Balloon Text"/>
    <w:basedOn w:val="Normal"/>
    <w:link w:val="BalloonTextChar"/>
    <w:uiPriority w:val="99"/>
    <w:semiHidden/>
    <w:unhideWhenUsed/>
    <w:rsid w:val="00A0657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6574"/>
    <w:rPr>
      <w:rFonts w:ascii="Segoe UI" w:eastAsia="Arial" w:hAnsi="Segoe UI" w:cs="Segoe UI"/>
      <w:sz w:val="18"/>
      <w:szCs w:val="18"/>
      <w:lang w:bidi="en-US"/>
    </w:rPr>
  </w:style>
  <w:style w:type="character" w:customStyle="1" w:styleId="Heading3Char">
    <w:name w:val="Heading 3 Char"/>
    <w:basedOn w:val="DefaultParagraphFont"/>
    <w:link w:val="Heading3"/>
    <w:uiPriority w:val="9"/>
    <w:semiHidden/>
    <w:rsid w:val="006B0C06"/>
    <w:rPr>
      <w:rFonts w:asciiTheme="majorHAnsi" w:eastAsiaTheme="majorEastAsia" w:hAnsiTheme="majorHAnsi" w:cstheme="majorBidi"/>
      <w:color w:val="1F4D78" w:themeColor="accent1" w:themeShade="7F"/>
      <w:sz w:val="24"/>
      <w:szCs w:val="24"/>
      <w:lang w:bidi="en-US"/>
    </w:rPr>
  </w:style>
  <w:style w:type="character" w:customStyle="1" w:styleId="markedcontent">
    <w:name w:val="markedcontent"/>
    <w:basedOn w:val="DefaultParagraphFont"/>
    <w:rsid w:val="00FE057B"/>
  </w:style>
  <w:style w:type="paragraph" w:styleId="Header">
    <w:name w:val="header"/>
    <w:basedOn w:val="Normal"/>
    <w:link w:val="HeaderChar"/>
    <w:uiPriority w:val="99"/>
    <w:unhideWhenUsed/>
    <w:rsid w:val="00ED72A7"/>
    <w:pPr>
      <w:tabs>
        <w:tab w:val="center" w:pos="4680"/>
        <w:tab w:val="right" w:pos="9360"/>
      </w:tabs>
    </w:pPr>
  </w:style>
  <w:style w:type="character" w:customStyle="1" w:styleId="HeaderChar">
    <w:name w:val="Header Char"/>
    <w:basedOn w:val="DefaultParagraphFont"/>
    <w:link w:val="Header"/>
    <w:uiPriority w:val="99"/>
    <w:rsid w:val="00ED72A7"/>
    <w:rPr>
      <w:rFonts w:ascii="Arial" w:eastAsia="Arial" w:hAnsi="Arial" w:cs="Arial"/>
      <w:lang w:bidi="en-US"/>
    </w:rPr>
  </w:style>
  <w:style w:type="paragraph" w:styleId="Footer">
    <w:name w:val="footer"/>
    <w:basedOn w:val="Normal"/>
    <w:link w:val="FooterChar"/>
    <w:uiPriority w:val="99"/>
    <w:unhideWhenUsed/>
    <w:rsid w:val="00ED72A7"/>
    <w:pPr>
      <w:tabs>
        <w:tab w:val="center" w:pos="4680"/>
        <w:tab w:val="right" w:pos="9360"/>
      </w:tabs>
    </w:pPr>
  </w:style>
  <w:style w:type="character" w:customStyle="1" w:styleId="FooterChar">
    <w:name w:val="Footer Char"/>
    <w:basedOn w:val="DefaultParagraphFont"/>
    <w:link w:val="Footer"/>
    <w:uiPriority w:val="99"/>
    <w:rsid w:val="00ED72A7"/>
    <w:rPr>
      <w:rFonts w:ascii="Arial" w:eastAsia="Arial" w:hAnsi="Arial" w:cs="Arial"/>
      <w:lang w:bidi="en-US"/>
    </w:rPr>
  </w:style>
  <w:style w:type="table" w:styleId="TableGrid">
    <w:name w:val="Table Grid"/>
    <w:basedOn w:val="TableNormal"/>
    <w:uiPriority w:val="39"/>
    <w:rsid w:val="00D359B1"/>
    <w:pPr>
      <w:spacing w:after="0" w:line="240" w:lineRule="auto"/>
    </w:pPr>
    <w:rPr>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95A09"/>
    <w:pPr>
      <w:spacing w:after="0" w:line="240" w:lineRule="auto"/>
    </w:pPr>
    <w:rPr>
      <w:rFonts w:ascii="Arial" w:eastAsia="Arial" w:hAnsi="Arial" w:cs="Arial"/>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5990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3503</Words>
  <Characters>19972</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LINEKKER M R</dc:creator>
  <cp:keywords/>
  <dc:description/>
  <cp:lastModifiedBy>UMESH SINGH</cp:lastModifiedBy>
  <cp:revision>2</cp:revision>
  <dcterms:created xsi:type="dcterms:W3CDTF">2024-02-21T11:48:00Z</dcterms:created>
  <dcterms:modified xsi:type="dcterms:W3CDTF">2024-02-21T11:48:00Z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fe68139-55fe-47ac-b111-1b5dc606246f_Enabled">
    <vt:lpwstr>true</vt:lpwstr>
  </property>
  <property fmtid="{D5CDD505-2E9C-101B-9397-08002B2CF9AE}" pid="3" name="MSIP_Label_afe68139-55fe-47ac-b111-1b5dc606246f_SetDate">
    <vt:lpwstr>2024-01-16T09:15:21Z</vt:lpwstr>
  </property>
  <property fmtid="{D5CDD505-2E9C-101B-9397-08002B2CF9AE}" pid="4" name="MSIP_Label_afe68139-55fe-47ac-b111-1b5dc606246f_Method">
    <vt:lpwstr>Standard</vt:lpwstr>
  </property>
  <property fmtid="{D5CDD505-2E9C-101B-9397-08002B2CF9AE}" pid="5" name="MSIP_Label_afe68139-55fe-47ac-b111-1b5dc606246f_Name">
    <vt:lpwstr>Sensitive</vt:lpwstr>
  </property>
  <property fmtid="{D5CDD505-2E9C-101B-9397-08002B2CF9AE}" pid="6" name="MSIP_Label_afe68139-55fe-47ac-b111-1b5dc606246f_SiteId">
    <vt:lpwstr>d05a3c23-81e5-4a77-8091-14140730063b</vt:lpwstr>
  </property>
  <property fmtid="{D5CDD505-2E9C-101B-9397-08002B2CF9AE}" pid="7" name="MSIP_Label_afe68139-55fe-47ac-b111-1b5dc606246f_ActionId">
    <vt:lpwstr>27f84ab5-75db-46ec-99a4-98a900262003</vt:lpwstr>
  </property>
  <property fmtid="{D5CDD505-2E9C-101B-9397-08002B2CF9AE}" pid="8" name="MSIP_Label_afe68139-55fe-47ac-b111-1b5dc606246f_ContentBits">
    <vt:lpwstr>0</vt:lpwstr>
  </property>
</Properties>
</file>