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804" w:rsidRDefault="00AD1804" w:rsidP="00AD1804">
      <w:pPr>
        <w:jc w:val="both"/>
        <w:rPr>
          <w:rFonts w:ascii="Arial" w:hAnsi="Arial" w:cs="Arial"/>
          <w:sz w:val="24"/>
          <w:szCs w:val="24"/>
        </w:rPr>
      </w:pPr>
      <w:bookmarkStart w:id="0" w:name="_GoBack"/>
      <w:bookmarkEnd w:id="0"/>
    </w:p>
    <w:p w:rsidR="00AD1804" w:rsidRPr="00495C37" w:rsidRDefault="00AD1804" w:rsidP="00AD1804">
      <w:pPr>
        <w:jc w:val="both"/>
        <w:rPr>
          <w:rFonts w:ascii="Arial" w:hAnsi="Arial" w:cs="Arial"/>
          <w:sz w:val="24"/>
          <w:szCs w:val="24"/>
        </w:rPr>
      </w:pPr>
    </w:p>
    <w:p w:rsidR="00AD1804" w:rsidRPr="00252351" w:rsidRDefault="00AD1804" w:rsidP="00AD1804">
      <w:pPr>
        <w:jc w:val="both"/>
        <w:rPr>
          <w:rFonts w:ascii="Arial" w:hAnsi="Arial" w:cs="Arial"/>
          <w:b/>
          <w:sz w:val="24"/>
          <w:szCs w:val="24"/>
        </w:rPr>
      </w:pPr>
    </w:p>
    <w:p w:rsidR="00AD1804" w:rsidRPr="001B3CC9" w:rsidRDefault="00AD1804" w:rsidP="00AD1804">
      <w:pPr>
        <w:spacing w:before="240"/>
        <w:jc w:val="center"/>
        <w:rPr>
          <w:rFonts w:ascii="Arial" w:hAnsi="Arial" w:cs="Arial"/>
          <w:b/>
          <w:sz w:val="28"/>
          <w:szCs w:val="24"/>
        </w:rPr>
      </w:pPr>
      <w:r w:rsidRPr="001B3CC9">
        <w:rPr>
          <w:rFonts w:ascii="Arial" w:hAnsi="Arial" w:cs="Arial"/>
          <w:b/>
          <w:sz w:val="28"/>
          <w:szCs w:val="24"/>
        </w:rPr>
        <w:t>MANAPPURAM FINANCE LIMITED (MAFIL)</w:t>
      </w:r>
    </w:p>
    <w:p w:rsidR="00AD1804" w:rsidRPr="001B3CC9" w:rsidRDefault="00AD1804" w:rsidP="00AD1804">
      <w:pPr>
        <w:jc w:val="center"/>
        <w:rPr>
          <w:rFonts w:ascii="Arial" w:hAnsi="Arial" w:cs="Arial"/>
          <w:b/>
          <w:sz w:val="40"/>
          <w:szCs w:val="40"/>
        </w:rPr>
      </w:pPr>
      <w:r w:rsidRPr="001B3CC9">
        <w:rPr>
          <w:rFonts w:ascii="Arial" w:hAnsi="Arial" w:cs="Arial"/>
          <w:b/>
          <w:sz w:val="40"/>
          <w:szCs w:val="40"/>
        </w:rPr>
        <w:t>RESOLUTION FRAMEWORK FOR COVID-19 RELATED STRESS</w:t>
      </w:r>
      <w:r w:rsidR="0094486A" w:rsidRPr="001B3CC9">
        <w:rPr>
          <w:rFonts w:ascii="Arial" w:hAnsi="Arial" w:cs="Arial"/>
          <w:b/>
          <w:sz w:val="40"/>
          <w:szCs w:val="40"/>
        </w:rPr>
        <w:t xml:space="preserve"> –</w:t>
      </w:r>
      <w:r w:rsidRPr="001B3CC9">
        <w:rPr>
          <w:rFonts w:ascii="Arial" w:hAnsi="Arial" w:cs="Arial"/>
          <w:b/>
          <w:sz w:val="40"/>
          <w:szCs w:val="40"/>
        </w:rPr>
        <w:t xml:space="preserve"> </w:t>
      </w:r>
      <w:r w:rsidR="0094486A" w:rsidRPr="001B3CC9">
        <w:rPr>
          <w:rFonts w:ascii="Arial" w:hAnsi="Arial" w:cs="Arial"/>
          <w:b/>
          <w:sz w:val="40"/>
          <w:szCs w:val="40"/>
        </w:rPr>
        <w:t>INDIVIDUALS &amp; SMALL BUSINESSES</w:t>
      </w:r>
    </w:p>
    <w:p w:rsidR="00AD1804" w:rsidRPr="001B3CC9" w:rsidRDefault="00AD1804" w:rsidP="00AD1804">
      <w:pPr>
        <w:ind w:left="360" w:right="-244" w:hanging="270"/>
        <w:jc w:val="both"/>
        <w:rPr>
          <w:rFonts w:ascii="Arial" w:hAnsi="Arial" w:cs="Arial"/>
          <w:b/>
          <w:sz w:val="40"/>
          <w:szCs w:val="40"/>
        </w:rPr>
      </w:pPr>
    </w:p>
    <w:p w:rsidR="00AD1804" w:rsidRPr="001B3CC9" w:rsidRDefault="00AD1804" w:rsidP="00AD1804">
      <w:pPr>
        <w:jc w:val="both"/>
        <w:rPr>
          <w:rFonts w:ascii="Arial" w:hAnsi="Arial" w:cs="Arial"/>
          <w:b/>
          <w:sz w:val="40"/>
          <w:szCs w:val="40"/>
        </w:rPr>
      </w:pPr>
    </w:p>
    <w:tbl>
      <w:tblPr>
        <w:tblStyle w:val="TableGrid"/>
        <w:tblW w:w="9322" w:type="dxa"/>
        <w:tblLook w:val="04A0" w:firstRow="1" w:lastRow="0" w:firstColumn="1" w:lastColumn="0" w:noHBand="0" w:noVBand="1"/>
      </w:tblPr>
      <w:tblGrid>
        <w:gridCol w:w="2518"/>
        <w:gridCol w:w="4678"/>
        <w:gridCol w:w="2126"/>
      </w:tblGrid>
      <w:tr w:rsidR="00AD1804" w:rsidRPr="001B3CC9" w:rsidTr="00000D4F">
        <w:trPr>
          <w:trHeight w:val="362"/>
        </w:trPr>
        <w:tc>
          <w:tcPr>
            <w:tcW w:w="9322" w:type="dxa"/>
            <w:gridSpan w:val="3"/>
            <w:shd w:val="clear" w:color="auto" w:fill="auto"/>
            <w:vAlign w:val="center"/>
          </w:tcPr>
          <w:p w:rsidR="00AD1804" w:rsidRPr="001B3CC9" w:rsidRDefault="00AD1804" w:rsidP="00EF3BEB">
            <w:pPr>
              <w:spacing w:after="0"/>
              <w:jc w:val="both"/>
              <w:rPr>
                <w:rFonts w:ascii="Arial" w:hAnsi="Arial" w:cs="Arial"/>
                <w:b/>
              </w:rPr>
            </w:pPr>
            <w:r w:rsidRPr="001B3CC9">
              <w:rPr>
                <w:rFonts w:ascii="Arial" w:hAnsi="Arial" w:cs="Arial"/>
                <w:b/>
              </w:rPr>
              <w:t>Version Control</w:t>
            </w:r>
          </w:p>
        </w:tc>
      </w:tr>
      <w:tr w:rsidR="00AD1804" w:rsidRPr="001B3CC9" w:rsidTr="00000D4F">
        <w:trPr>
          <w:trHeight w:val="362"/>
        </w:trPr>
        <w:tc>
          <w:tcPr>
            <w:tcW w:w="2518" w:type="dxa"/>
            <w:shd w:val="clear" w:color="auto" w:fill="D9D9D9" w:themeFill="background1" w:themeFillShade="D9"/>
            <w:vAlign w:val="center"/>
          </w:tcPr>
          <w:p w:rsidR="00AD1804" w:rsidRPr="001B3CC9" w:rsidRDefault="00AD1804" w:rsidP="00EF3BEB">
            <w:pPr>
              <w:spacing w:after="0"/>
              <w:jc w:val="both"/>
              <w:rPr>
                <w:rFonts w:ascii="Arial" w:hAnsi="Arial" w:cs="Arial"/>
                <w:b/>
              </w:rPr>
            </w:pPr>
            <w:r w:rsidRPr="001B3CC9">
              <w:rPr>
                <w:rFonts w:ascii="Arial" w:hAnsi="Arial" w:cs="Arial"/>
                <w:b/>
              </w:rPr>
              <w:t>Version Number</w:t>
            </w:r>
          </w:p>
        </w:tc>
        <w:tc>
          <w:tcPr>
            <w:tcW w:w="4678" w:type="dxa"/>
            <w:shd w:val="clear" w:color="auto" w:fill="D9D9D9" w:themeFill="background1" w:themeFillShade="D9"/>
            <w:vAlign w:val="center"/>
          </w:tcPr>
          <w:p w:rsidR="00AD1804" w:rsidRPr="001B3CC9" w:rsidRDefault="00AD1804" w:rsidP="00EF3BEB">
            <w:pPr>
              <w:spacing w:after="0"/>
              <w:jc w:val="both"/>
              <w:rPr>
                <w:rFonts w:ascii="Arial" w:hAnsi="Arial" w:cs="Arial"/>
                <w:b/>
              </w:rPr>
            </w:pPr>
            <w:r w:rsidRPr="001B3CC9">
              <w:rPr>
                <w:rFonts w:ascii="Arial" w:hAnsi="Arial" w:cs="Arial"/>
                <w:b/>
              </w:rPr>
              <w:t>Description</w:t>
            </w:r>
          </w:p>
        </w:tc>
        <w:tc>
          <w:tcPr>
            <w:tcW w:w="2126" w:type="dxa"/>
            <w:shd w:val="clear" w:color="auto" w:fill="D9D9D9" w:themeFill="background1" w:themeFillShade="D9"/>
            <w:vAlign w:val="center"/>
          </w:tcPr>
          <w:p w:rsidR="00AD1804" w:rsidRPr="001B3CC9" w:rsidRDefault="00AD1804" w:rsidP="00EF3BEB">
            <w:pPr>
              <w:spacing w:after="0"/>
              <w:jc w:val="both"/>
              <w:rPr>
                <w:rFonts w:ascii="Arial" w:hAnsi="Arial" w:cs="Arial"/>
                <w:b/>
              </w:rPr>
            </w:pPr>
            <w:r w:rsidRPr="001B3CC9">
              <w:rPr>
                <w:rFonts w:ascii="Arial" w:hAnsi="Arial" w:cs="Arial"/>
                <w:b/>
              </w:rPr>
              <w:t>Date</w:t>
            </w:r>
          </w:p>
        </w:tc>
      </w:tr>
      <w:tr w:rsidR="00AD1804" w:rsidRPr="001B3CC9" w:rsidTr="00000D4F">
        <w:trPr>
          <w:trHeight w:val="362"/>
        </w:trPr>
        <w:tc>
          <w:tcPr>
            <w:tcW w:w="2518" w:type="dxa"/>
            <w:shd w:val="clear" w:color="auto" w:fill="auto"/>
            <w:vAlign w:val="center"/>
          </w:tcPr>
          <w:p w:rsidR="00AD1804" w:rsidRPr="001B3CC9" w:rsidRDefault="00AD1804" w:rsidP="00EF3BEB">
            <w:pPr>
              <w:spacing w:after="0"/>
              <w:jc w:val="both"/>
              <w:rPr>
                <w:rFonts w:ascii="Arial" w:hAnsi="Arial" w:cs="Arial"/>
              </w:rPr>
            </w:pPr>
            <w:r w:rsidRPr="001B3CC9">
              <w:rPr>
                <w:rFonts w:ascii="Arial" w:hAnsi="Arial" w:cs="Arial"/>
              </w:rPr>
              <w:t>Version 0.1</w:t>
            </w:r>
          </w:p>
        </w:tc>
        <w:tc>
          <w:tcPr>
            <w:tcW w:w="4678" w:type="dxa"/>
            <w:shd w:val="clear" w:color="auto" w:fill="auto"/>
            <w:vAlign w:val="center"/>
          </w:tcPr>
          <w:p w:rsidR="00AD1804" w:rsidRPr="001B3CC9" w:rsidRDefault="00AD1804" w:rsidP="00EF3BEB">
            <w:pPr>
              <w:spacing w:after="0"/>
              <w:jc w:val="both"/>
              <w:rPr>
                <w:rFonts w:ascii="Arial" w:hAnsi="Arial" w:cs="Arial"/>
              </w:rPr>
            </w:pPr>
            <w:r w:rsidRPr="001B3CC9">
              <w:rPr>
                <w:rFonts w:ascii="Arial" w:hAnsi="Arial" w:cs="Arial"/>
              </w:rPr>
              <w:t>New policy</w:t>
            </w:r>
          </w:p>
        </w:tc>
        <w:tc>
          <w:tcPr>
            <w:tcW w:w="2126" w:type="dxa"/>
            <w:shd w:val="clear" w:color="auto" w:fill="auto"/>
            <w:vAlign w:val="center"/>
          </w:tcPr>
          <w:p w:rsidR="00AD1804" w:rsidRPr="001B3CC9" w:rsidRDefault="00AD1804" w:rsidP="00EF3BEB">
            <w:pPr>
              <w:spacing w:after="0"/>
              <w:jc w:val="both"/>
              <w:rPr>
                <w:rFonts w:ascii="Arial" w:hAnsi="Arial" w:cs="Arial"/>
              </w:rPr>
            </w:pPr>
            <w:r w:rsidRPr="001B3CC9">
              <w:rPr>
                <w:rFonts w:ascii="Arial" w:hAnsi="Arial" w:cs="Arial"/>
                <w:vertAlign w:val="superscript"/>
              </w:rPr>
              <w:t xml:space="preserve">   </w:t>
            </w:r>
            <w:r w:rsidRPr="001B3CC9">
              <w:rPr>
                <w:rFonts w:ascii="Arial" w:hAnsi="Arial" w:cs="Arial"/>
              </w:rPr>
              <w:t xml:space="preserve"> </w:t>
            </w:r>
            <w:r w:rsidR="00D22AEB">
              <w:rPr>
                <w:rFonts w:ascii="Arial" w:hAnsi="Arial" w:cs="Arial"/>
              </w:rPr>
              <w:t>26</w:t>
            </w:r>
            <w:r w:rsidR="00D22AEB" w:rsidRPr="00D22AEB">
              <w:rPr>
                <w:rFonts w:ascii="Arial" w:hAnsi="Arial" w:cs="Arial"/>
                <w:vertAlign w:val="superscript"/>
              </w:rPr>
              <w:t>th</w:t>
            </w:r>
            <w:r w:rsidR="00D22AEB">
              <w:rPr>
                <w:rFonts w:ascii="Arial" w:hAnsi="Arial" w:cs="Arial"/>
              </w:rPr>
              <w:t xml:space="preserve"> May 2021</w:t>
            </w:r>
          </w:p>
        </w:tc>
      </w:tr>
      <w:tr w:rsidR="00AD1804" w:rsidRPr="001B3CC9" w:rsidTr="00000D4F">
        <w:trPr>
          <w:trHeight w:val="362"/>
        </w:trPr>
        <w:tc>
          <w:tcPr>
            <w:tcW w:w="2518" w:type="dxa"/>
            <w:shd w:val="clear" w:color="auto" w:fill="auto"/>
            <w:vAlign w:val="center"/>
          </w:tcPr>
          <w:p w:rsidR="00AD1804" w:rsidRPr="001B3CC9" w:rsidRDefault="00AD1804" w:rsidP="00EF3BEB">
            <w:pPr>
              <w:spacing w:after="0"/>
              <w:jc w:val="both"/>
              <w:rPr>
                <w:rFonts w:ascii="Arial" w:hAnsi="Arial" w:cs="Arial"/>
              </w:rPr>
            </w:pPr>
          </w:p>
        </w:tc>
        <w:tc>
          <w:tcPr>
            <w:tcW w:w="4678" w:type="dxa"/>
            <w:shd w:val="clear" w:color="auto" w:fill="auto"/>
            <w:vAlign w:val="center"/>
          </w:tcPr>
          <w:p w:rsidR="00AD1804" w:rsidRPr="001B3CC9" w:rsidRDefault="00AD1804" w:rsidP="00EF3BEB">
            <w:pPr>
              <w:spacing w:after="0"/>
              <w:jc w:val="both"/>
              <w:rPr>
                <w:rFonts w:ascii="Arial" w:hAnsi="Arial" w:cs="Arial"/>
              </w:rPr>
            </w:pPr>
          </w:p>
        </w:tc>
        <w:tc>
          <w:tcPr>
            <w:tcW w:w="2126" w:type="dxa"/>
            <w:shd w:val="clear" w:color="auto" w:fill="auto"/>
            <w:vAlign w:val="center"/>
          </w:tcPr>
          <w:p w:rsidR="00AD1804" w:rsidRPr="001B3CC9" w:rsidRDefault="00AD1804" w:rsidP="00EF3BEB">
            <w:pPr>
              <w:spacing w:after="0"/>
              <w:jc w:val="both"/>
              <w:rPr>
                <w:rFonts w:ascii="Arial" w:hAnsi="Arial" w:cs="Arial"/>
              </w:rPr>
            </w:pPr>
          </w:p>
        </w:tc>
      </w:tr>
    </w:tbl>
    <w:p w:rsidR="00AD1804" w:rsidRPr="001B3CC9" w:rsidRDefault="00AD1804" w:rsidP="00AD1804">
      <w:pPr>
        <w:spacing w:after="0"/>
        <w:jc w:val="both"/>
        <w:rPr>
          <w:rFonts w:ascii="Arial" w:hAnsi="Arial" w:cs="Arial"/>
          <w:b/>
        </w:rPr>
      </w:pPr>
    </w:p>
    <w:p w:rsidR="00AD1804" w:rsidRPr="001B3CC9" w:rsidRDefault="00AD1804" w:rsidP="00AD1804">
      <w:pPr>
        <w:pStyle w:val="Header"/>
        <w:spacing w:before="100" w:beforeAutospacing="1" w:after="240"/>
        <w:jc w:val="both"/>
        <w:rPr>
          <w:rFonts w:ascii="Arial" w:hAnsi="Arial" w:cs="Arial"/>
          <w:b/>
          <w:sz w:val="24"/>
        </w:rPr>
      </w:pPr>
    </w:p>
    <w:p w:rsidR="00AD1804" w:rsidRPr="001B3CC9" w:rsidRDefault="00AD1804" w:rsidP="00AD1804">
      <w:pPr>
        <w:tabs>
          <w:tab w:val="right" w:pos="9360"/>
        </w:tabs>
        <w:spacing w:before="240"/>
        <w:ind w:left="720"/>
        <w:jc w:val="both"/>
        <w:rPr>
          <w:rFonts w:ascii="Arial" w:hAnsi="Arial" w:cs="Arial"/>
          <w:b/>
          <w:sz w:val="24"/>
        </w:rPr>
      </w:pPr>
      <w:r w:rsidRPr="001B3CC9">
        <w:rPr>
          <w:rFonts w:ascii="Arial" w:hAnsi="Arial" w:cs="Arial"/>
          <w:b/>
        </w:rPr>
        <w:t xml:space="preserve">Effective Date                        :    </w:t>
      </w:r>
      <w:r w:rsidR="00D22AEB">
        <w:rPr>
          <w:rFonts w:ascii="Arial" w:hAnsi="Arial" w:cs="Arial"/>
          <w:b/>
        </w:rPr>
        <w:t xml:space="preserve">     26</w:t>
      </w:r>
      <w:r w:rsidR="00D22AEB" w:rsidRPr="00D22AEB">
        <w:rPr>
          <w:rFonts w:ascii="Arial" w:hAnsi="Arial" w:cs="Arial"/>
          <w:b/>
          <w:vertAlign w:val="superscript"/>
        </w:rPr>
        <w:t>th</w:t>
      </w:r>
      <w:r w:rsidR="00D22AEB">
        <w:rPr>
          <w:rFonts w:ascii="Arial" w:hAnsi="Arial" w:cs="Arial"/>
          <w:b/>
        </w:rPr>
        <w:t xml:space="preserve"> May 2021</w:t>
      </w:r>
      <w:r w:rsidRPr="001B3CC9">
        <w:rPr>
          <w:rFonts w:ascii="Arial" w:hAnsi="Arial" w:cs="Arial"/>
          <w:b/>
        </w:rPr>
        <w:t xml:space="preserve">      </w:t>
      </w:r>
      <w:r w:rsidRPr="001B3CC9">
        <w:rPr>
          <w:rFonts w:ascii="Arial" w:hAnsi="Arial" w:cs="Arial"/>
          <w:b/>
        </w:rPr>
        <w:tab/>
        <w:t xml:space="preserve"> </w:t>
      </w:r>
    </w:p>
    <w:p w:rsidR="00AD1804" w:rsidRPr="001B3CC9" w:rsidRDefault="00AD1804" w:rsidP="00AD1804">
      <w:pPr>
        <w:spacing w:before="240"/>
        <w:ind w:left="720"/>
        <w:jc w:val="both"/>
        <w:rPr>
          <w:rFonts w:ascii="Arial" w:hAnsi="Arial" w:cs="Arial"/>
          <w:b/>
          <w:sz w:val="24"/>
        </w:rPr>
      </w:pPr>
      <w:r w:rsidRPr="001B3CC9">
        <w:rPr>
          <w:rFonts w:ascii="Arial" w:hAnsi="Arial" w:cs="Arial"/>
          <w:b/>
        </w:rPr>
        <w:t>Next Review Date</w:t>
      </w:r>
      <w:r w:rsidRPr="001B3CC9">
        <w:rPr>
          <w:rFonts w:ascii="Arial" w:hAnsi="Arial" w:cs="Arial"/>
          <w:b/>
        </w:rPr>
        <w:tab/>
        <w:t xml:space="preserve">            :          </w:t>
      </w:r>
      <w:r w:rsidR="00D22AEB">
        <w:rPr>
          <w:rFonts w:ascii="Arial" w:hAnsi="Arial" w:cs="Arial"/>
          <w:b/>
        </w:rPr>
        <w:t>NA</w:t>
      </w:r>
    </w:p>
    <w:p w:rsidR="00AD1804" w:rsidRPr="001B3CC9" w:rsidRDefault="00AD1804" w:rsidP="00D22AEB">
      <w:pPr>
        <w:spacing w:before="240"/>
        <w:ind w:left="720"/>
        <w:jc w:val="both"/>
        <w:rPr>
          <w:rFonts w:ascii="Arial" w:hAnsi="Arial" w:cs="Arial"/>
          <w:b/>
        </w:rPr>
      </w:pPr>
      <w:r w:rsidRPr="001B3CC9">
        <w:rPr>
          <w:rFonts w:ascii="Arial" w:hAnsi="Arial" w:cs="Arial"/>
          <w:b/>
        </w:rPr>
        <w:t>Policy Owner</w:t>
      </w:r>
      <w:r w:rsidRPr="001B3CC9">
        <w:rPr>
          <w:rFonts w:ascii="Arial" w:hAnsi="Arial" w:cs="Arial"/>
        </w:rPr>
        <w:tab/>
      </w:r>
      <w:r w:rsidRPr="001B3CC9">
        <w:rPr>
          <w:rFonts w:ascii="Arial" w:hAnsi="Arial" w:cs="Arial"/>
        </w:rPr>
        <w:tab/>
      </w:r>
      <w:r w:rsidRPr="001B3CC9">
        <w:rPr>
          <w:rFonts w:ascii="Arial" w:hAnsi="Arial" w:cs="Arial"/>
        </w:rPr>
        <w:tab/>
      </w:r>
      <w:r w:rsidRPr="001B3CC9">
        <w:rPr>
          <w:rFonts w:ascii="Arial" w:hAnsi="Arial" w:cs="Arial"/>
          <w:b/>
        </w:rPr>
        <w:t xml:space="preserve">:  </w:t>
      </w:r>
      <w:r w:rsidRPr="001B3CC9">
        <w:rPr>
          <w:rFonts w:ascii="Arial" w:hAnsi="Arial" w:cs="Arial"/>
        </w:rPr>
        <w:tab/>
      </w:r>
      <w:r w:rsidR="00D22AEB" w:rsidRPr="001B3CC9">
        <w:rPr>
          <w:rFonts w:ascii="Arial" w:hAnsi="Arial" w:cs="Arial"/>
          <w:b/>
        </w:rPr>
        <w:t>Risk Management Department</w:t>
      </w:r>
    </w:p>
    <w:p w:rsidR="00AD1804" w:rsidRPr="001B3CC9" w:rsidRDefault="00AD1804" w:rsidP="00AD1804">
      <w:pPr>
        <w:spacing w:before="240"/>
        <w:ind w:left="720"/>
        <w:jc w:val="both"/>
        <w:rPr>
          <w:rFonts w:ascii="Arial" w:hAnsi="Arial" w:cs="Arial"/>
          <w:b/>
        </w:rPr>
      </w:pPr>
      <w:r w:rsidRPr="001B3CC9">
        <w:rPr>
          <w:rFonts w:ascii="Arial" w:hAnsi="Arial" w:cs="Arial"/>
          <w:b/>
        </w:rPr>
        <w:t>Prepared By</w:t>
      </w:r>
      <w:r w:rsidRPr="001B3CC9">
        <w:rPr>
          <w:rFonts w:ascii="Arial" w:hAnsi="Arial" w:cs="Arial"/>
          <w:b/>
        </w:rPr>
        <w:tab/>
      </w:r>
      <w:r w:rsidRPr="001B3CC9">
        <w:rPr>
          <w:rFonts w:ascii="Arial" w:hAnsi="Arial" w:cs="Arial"/>
          <w:b/>
        </w:rPr>
        <w:tab/>
      </w:r>
      <w:r w:rsidRPr="001B3CC9">
        <w:rPr>
          <w:rFonts w:ascii="Arial" w:hAnsi="Arial" w:cs="Arial"/>
          <w:b/>
        </w:rPr>
        <w:tab/>
        <w:t xml:space="preserve">:  </w:t>
      </w:r>
      <w:r w:rsidRPr="001B3CC9">
        <w:rPr>
          <w:rFonts w:ascii="Arial" w:hAnsi="Arial" w:cs="Arial"/>
          <w:b/>
        </w:rPr>
        <w:tab/>
        <w:t>Risk Management Department</w:t>
      </w:r>
    </w:p>
    <w:p w:rsidR="00AD1804" w:rsidRPr="001B3CC9" w:rsidRDefault="00AD1804" w:rsidP="00AD1804">
      <w:pPr>
        <w:spacing w:before="240"/>
        <w:ind w:left="720"/>
        <w:jc w:val="both"/>
        <w:rPr>
          <w:rFonts w:ascii="Arial" w:hAnsi="Arial" w:cs="Arial"/>
          <w:b/>
        </w:rPr>
      </w:pPr>
      <w:r w:rsidRPr="001B3CC9">
        <w:rPr>
          <w:rFonts w:ascii="Arial" w:hAnsi="Arial" w:cs="Arial"/>
          <w:b/>
        </w:rPr>
        <w:t>Reviewed by</w:t>
      </w:r>
      <w:r w:rsidRPr="001B3CC9">
        <w:rPr>
          <w:rFonts w:ascii="Arial" w:hAnsi="Arial" w:cs="Arial"/>
          <w:b/>
        </w:rPr>
        <w:tab/>
      </w:r>
      <w:r w:rsidRPr="001B3CC9">
        <w:rPr>
          <w:rFonts w:ascii="Arial" w:hAnsi="Arial" w:cs="Arial"/>
          <w:b/>
        </w:rPr>
        <w:tab/>
      </w:r>
      <w:r w:rsidRPr="001B3CC9">
        <w:rPr>
          <w:rFonts w:ascii="Arial" w:hAnsi="Arial" w:cs="Arial"/>
          <w:b/>
        </w:rPr>
        <w:tab/>
        <w:t>:</w:t>
      </w:r>
      <w:r w:rsidRPr="001B3CC9">
        <w:rPr>
          <w:rFonts w:ascii="Arial" w:hAnsi="Arial" w:cs="Arial"/>
          <w:b/>
        </w:rPr>
        <w:tab/>
        <w:t>Policy Review Committee</w:t>
      </w:r>
    </w:p>
    <w:p w:rsidR="00AD1804" w:rsidRPr="001B3CC9" w:rsidRDefault="00AD1804" w:rsidP="00AD1804">
      <w:pPr>
        <w:spacing w:before="240"/>
        <w:ind w:left="720"/>
        <w:jc w:val="both"/>
        <w:rPr>
          <w:rFonts w:ascii="Arial" w:hAnsi="Arial" w:cs="Arial"/>
          <w:b/>
        </w:rPr>
      </w:pPr>
      <w:r w:rsidRPr="001B3CC9">
        <w:rPr>
          <w:rFonts w:ascii="Arial" w:hAnsi="Arial" w:cs="Arial"/>
          <w:b/>
        </w:rPr>
        <w:t>Approved By</w:t>
      </w:r>
      <w:r w:rsidRPr="001B3CC9">
        <w:rPr>
          <w:rFonts w:ascii="Arial" w:hAnsi="Arial" w:cs="Arial"/>
          <w:b/>
        </w:rPr>
        <w:tab/>
      </w:r>
      <w:r w:rsidRPr="001B3CC9">
        <w:rPr>
          <w:rFonts w:ascii="Arial" w:hAnsi="Arial" w:cs="Arial"/>
          <w:b/>
        </w:rPr>
        <w:tab/>
      </w:r>
      <w:r w:rsidRPr="001B3CC9">
        <w:rPr>
          <w:rFonts w:ascii="Arial" w:hAnsi="Arial" w:cs="Arial"/>
          <w:b/>
        </w:rPr>
        <w:tab/>
        <w:t xml:space="preserve">:  </w:t>
      </w:r>
      <w:r w:rsidRPr="001B3CC9">
        <w:rPr>
          <w:rFonts w:ascii="Arial" w:hAnsi="Arial" w:cs="Arial"/>
          <w:b/>
        </w:rPr>
        <w:tab/>
        <w:t>MD &amp; CEO, MAFIL.</w:t>
      </w:r>
    </w:p>
    <w:p w:rsidR="00AD1804" w:rsidRPr="001B3CC9" w:rsidRDefault="00AD1804" w:rsidP="00AD1804">
      <w:pPr>
        <w:spacing w:before="100" w:beforeAutospacing="1" w:line="240" w:lineRule="auto"/>
        <w:jc w:val="both"/>
        <w:rPr>
          <w:rFonts w:ascii="Arial" w:hAnsi="Arial" w:cs="Arial"/>
          <w:b/>
        </w:rPr>
      </w:pPr>
    </w:p>
    <w:p w:rsidR="00AD1804" w:rsidRDefault="00AD1804" w:rsidP="00AD1804">
      <w:pPr>
        <w:spacing w:before="100" w:beforeAutospacing="1" w:line="240" w:lineRule="auto"/>
        <w:jc w:val="both"/>
        <w:rPr>
          <w:rFonts w:ascii="Arial" w:hAnsi="Arial" w:cs="Arial"/>
          <w:b/>
        </w:rPr>
      </w:pPr>
    </w:p>
    <w:p w:rsidR="00EF3BEB" w:rsidRDefault="00EF3BEB" w:rsidP="00AD1804">
      <w:pPr>
        <w:spacing w:before="100" w:beforeAutospacing="1" w:line="240" w:lineRule="auto"/>
        <w:jc w:val="both"/>
        <w:rPr>
          <w:rFonts w:ascii="Arial" w:hAnsi="Arial" w:cs="Arial"/>
          <w:b/>
        </w:rPr>
      </w:pPr>
    </w:p>
    <w:p w:rsidR="00EF3BEB" w:rsidRPr="001B3CC9" w:rsidRDefault="00EF3BEB" w:rsidP="00AD1804">
      <w:pPr>
        <w:spacing w:before="100" w:beforeAutospacing="1" w:line="240" w:lineRule="auto"/>
        <w:jc w:val="both"/>
        <w:rPr>
          <w:rFonts w:ascii="Arial" w:hAnsi="Arial" w:cs="Arial"/>
          <w:b/>
        </w:rPr>
      </w:pPr>
    </w:p>
    <w:p w:rsidR="00AD1804" w:rsidRPr="001B3CC9" w:rsidRDefault="00AD1804" w:rsidP="00AD1804">
      <w:pPr>
        <w:jc w:val="both"/>
        <w:rPr>
          <w:rFonts w:ascii="Arial" w:hAnsi="Arial" w:cs="Arial"/>
          <w:b/>
        </w:rPr>
      </w:pPr>
    </w:p>
    <w:sdt>
      <w:sdtPr>
        <w:rPr>
          <w:rFonts w:ascii="Arial" w:hAnsi="Arial" w:cs="Arial"/>
          <w:b/>
          <w:bCs/>
        </w:rPr>
        <w:id w:val="2884568"/>
        <w:docPartObj>
          <w:docPartGallery w:val="Table of Contents"/>
          <w:docPartUnique/>
        </w:docPartObj>
      </w:sdtPr>
      <w:sdtEndPr>
        <w:rPr>
          <w:b w:val="0"/>
          <w:bCs w:val="0"/>
        </w:rPr>
      </w:sdtEndPr>
      <w:sdtContent>
        <w:p w:rsidR="00AD1804" w:rsidRPr="001B3CC9" w:rsidRDefault="00AD1804" w:rsidP="00AD1804">
          <w:pPr>
            <w:pStyle w:val="NoSpacing"/>
            <w:jc w:val="both"/>
            <w:rPr>
              <w:rFonts w:ascii="Arial" w:hAnsi="Arial" w:cs="Arial"/>
              <w:sz w:val="28"/>
            </w:rPr>
          </w:pPr>
          <w:r w:rsidRPr="001B3CC9">
            <w:rPr>
              <w:rFonts w:ascii="Arial" w:hAnsi="Arial" w:cs="Arial"/>
              <w:sz w:val="28"/>
            </w:rPr>
            <w:t>Contents</w:t>
          </w:r>
        </w:p>
        <w:p w:rsidR="00AD1804" w:rsidRPr="001B3CC9" w:rsidRDefault="00AD1804" w:rsidP="00AD1804">
          <w:pPr>
            <w:pStyle w:val="NoSpacing"/>
            <w:jc w:val="both"/>
            <w:rPr>
              <w:rFonts w:ascii="Arial" w:hAnsi="Arial" w:cs="Arial"/>
              <w:sz w:val="28"/>
            </w:rPr>
          </w:pPr>
        </w:p>
        <w:p w:rsidR="000D02C7" w:rsidRPr="001B3CC9" w:rsidRDefault="00F16C11">
          <w:pPr>
            <w:pStyle w:val="TOC1"/>
            <w:rPr>
              <w:rFonts w:asciiTheme="minorHAnsi" w:eastAsiaTheme="minorEastAsia" w:hAnsiTheme="minorHAnsi" w:cstheme="minorBidi"/>
              <w:sz w:val="22"/>
              <w:szCs w:val="22"/>
              <w:lang w:val="en-US"/>
            </w:rPr>
          </w:pPr>
          <w:r>
            <w:t xml:space="preserve">  </w:t>
          </w:r>
          <w:r w:rsidR="00AD1804" w:rsidRPr="001B3CC9">
            <w:fldChar w:fldCharType="begin"/>
          </w:r>
          <w:r w:rsidR="00AD1804" w:rsidRPr="001B3CC9">
            <w:instrText xml:space="preserve"> TOC \o "1-3" \h \z \u </w:instrText>
          </w:r>
          <w:r w:rsidR="00AD1804" w:rsidRPr="001B3CC9">
            <w:fldChar w:fldCharType="separate"/>
          </w:r>
          <w:hyperlink w:anchor="_Toc71887616" w:history="1">
            <w:r w:rsidR="000D02C7" w:rsidRPr="001B3CC9">
              <w:rPr>
                <w:rStyle w:val="Hyperlink"/>
              </w:rPr>
              <w:t>Background</w:t>
            </w:r>
            <w:r w:rsidR="000D02C7" w:rsidRPr="001B3CC9">
              <w:rPr>
                <w:webHidden/>
              </w:rPr>
              <w:tab/>
            </w:r>
            <w:r w:rsidR="004F06F7">
              <w:rPr>
                <w:webHidden/>
              </w:rPr>
              <w:t>3</w:t>
            </w:r>
          </w:hyperlink>
        </w:p>
        <w:p w:rsidR="000D02C7" w:rsidRPr="001B3CC9" w:rsidRDefault="00F16C11">
          <w:pPr>
            <w:pStyle w:val="TOC1"/>
            <w:rPr>
              <w:rFonts w:asciiTheme="minorHAnsi" w:eastAsiaTheme="minorEastAsia" w:hAnsiTheme="minorHAnsi" w:cstheme="minorBidi"/>
              <w:sz w:val="22"/>
              <w:szCs w:val="22"/>
              <w:lang w:val="en-US"/>
            </w:rPr>
          </w:pPr>
          <w:r w:rsidRPr="00F16C11">
            <w:rPr>
              <w:rStyle w:val="Hyperlink"/>
              <w:u w:val="none"/>
            </w:rPr>
            <w:t xml:space="preserve">  </w:t>
          </w:r>
          <w:hyperlink w:anchor="_Toc71887617" w:history="1">
            <w:r w:rsidR="000D02C7" w:rsidRPr="001B3CC9">
              <w:rPr>
                <w:bCs/>
                <w:color w:val="000000"/>
                <w:szCs w:val="26"/>
                <w:lang w:val="en-US"/>
              </w:rPr>
              <w:t>Resolution of advances to individuals and small businesses</w:t>
            </w:r>
            <w:r w:rsidR="000D02C7" w:rsidRPr="001B3CC9">
              <w:rPr>
                <w:webHidden/>
              </w:rPr>
              <w:tab/>
            </w:r>
            <w:r w:rsidR="004F06F7">
              <w:rPr>
                <w:webHidden/>
              </w:rPr>
              <w:t>4</w:t>
            </w:r>
          </w:hyperlink>
        </w:p>
        <w:p w:rsidR="000D02C7" w:rsidRPr="001B3CC9" w:rsidRDefault="00F16C11" w:rsidP="00C63211">
          <w:pPr>
            <w:pStyle w:val="Default"/>
            <w:spacing w:line="360" w:lineRule="auto"/>
            <w:rPr>
              <w:sz w:val="26"/>
              <w:szCs w:val="26"/>
              <w:u w:val="single"/>
              <w:lang w:val="en-US"/>
            </w:rPr>
          </w:pPr>
          <w:r w:rsidRPr="00F16C11">
            <w:rPr>
              <w:rStyle w:val="Hyperlink"/>
              <w:noProof/>
              <w:u w:val="none"/>
            </w:rPr>
            <w:t xml:space="preserve">  </w:t>
          </w:r>
          <w:hyperlink w:anchor="_Toc71887618" w:history="1">
            <w:r w:rsidR="000D02C7" w:rsidRPr="004838D7">
              <w:rPr>
                <w:bCs/>
                <w:sz w:val="20"/>
                <w:szCs w:val="26"/>
                <w:lang w:val="en-US"/>
              </w:rPr>
              <w:t>Working capital support for small businesses where resolution plans were implemented previously</w:t>
            </w:r>
            <w:r w:rsidR="00DB22EE">
              <w:rPr>
                <w:bCs/>
                <w:sz w:val="20"/>
                <w:szCs w:val="26"/>
                <w:lang w:val="en-US"/>
              </w:rPr>
              <w:t>.</w:t>
            </w:r>
            <w:r w:rsidR="002518E3" w:rsidRPr="001B3CC9">
              <w:rPr>
                <w:bCs/>
                <w:sz w:val="20"/>
                <w:szCs w:val="26"/>
                <w:lang w:val="en-US"/>
              </w:rPr>
              <w:t>.</w:t>
            </w:r>
            <w:r w:rsidR="004F06F7">
              <w:rPr>
                <w:noProof/>
                <w:webHidden/>
                <w:sz w:val="20"/>
              </w:rPr>
              <w:t>7</w:t>
            </w:r>
          </w:hyperlink>
        </w:p>
        <w:p w:rsidR="000D02C7" w:rsidRPr="001B3CC9" w:rsidRDefault="00F16C11">
          <w:pPr>
            <w:pStyle w:val="TOC1"/>
            <w:rPr>
              <w:rFonts w:asciiTheme="minorHAnsi" w:eastAsiaTheme="minorEastAsia" w:hAnsiTheme="minorHAnsi" w:cstheme="minorBidi"/>
              <w:sz w:val="22"/>
              <w:szCs w:val="22"/>
              <w:lang w:val="en-US"/>
            </w:rPr>
          </w:pPr>
          <w:r w:rsidRPr="00F16C11">
            <w:rPr>
              <w:rStyle w:val="Hyperlink"/>
              <w:u w:val="none"/>
            </w:rPr>
            <w:t xml:space="preserve">  </w:t>
          </w:r>
          <w:hyperlink w:anchor="_Toc71887621" w:history="1">
            <w:r w:rsidR="000D02C7" w:rsidRPr="001B3CC9">
              <w:rPr>
                <w:rStyle w:val="Hyperlink"/>
                <w:rFonts w:eastAsiaTheme="majorEastAsia"/>
                <w:bCs/>
              </w:rPr>
              <w:t>Disclosures and credit Reporting</w:t>
            </w:r>
            <w:r w:rsidR="000D02C7" w:rsidRPr="001B3CC9">
              <w:rPr>
                <w:webHidden/>
              </w:rPr>
              <w:tab/>
            </w:r>
            <w:r w:rsidR="004F06F7">
              <w:rPr>
                <w:webHidden/>
              </w:rPr>
              <w:t>8</w:t>
            </w:r>
          </w:hyperlink>
        </w:p>
        <w:p w:rsidR="000D02C7" w:rsidRPr="001B3CC9" w:rsidRDefault="00F16C11">
          <w:pPr>
            <w:pStyle w:val="TOC1"/>
            <w:rPr>
              <w:rFonts w:asciiTheme="minorHAnsi" w:eastAsiaTheme="minorEastAsia" w:hAnsiTheme="minorHAnsi" w:cstheme="minorBidi"/>
              <w:sz w:val="22"/>
              <w:szCs w:val="22"/>
              <w:lang w:val="en-US"/>
            </w:rPr>
          </w:pPr>
          <w:r w:rsidRPr="00F16C11">
            <w:rPr>
              <w:rStyle w:val="Hyperlink"/>
              <w:u w:val="none"/>
            </w:rPr>
            <w:t xml:space="preserve">  </w:t>
          </w:r>
          <w:hyperlink w:anchor="_Toc71887622" w:history="1">
            <w:r w:rsidR="000D02C7" w:rsidRPr="001B3CC9">
              <w:rPr>
                <w:rStyle w:val="Hyperlink"/>
                <w:rFonts w:eastAsiaTheme="majorEastAsia"/>
                <w:bCs/>
              </w:rPr>
              <w:t>Annexures</w:t>
            </w:r>
            <w:r w:rsidR="000D02C7" w:rsidRPr="001B3CC9">
              <w:rPr>
                <w:webHidden/>
              </w:rPr>
              <w:tab/>
            </w:r>
            <w:r w:rsidR="004F06F7">
              <w:rPr>
                <w:webHidden/>
              </w:rPr>
              <w:t>9</w:t>
            </w:r>
          </w:hyperlink>
        </w:p>
        <w:p w:rsidR="00AD1804" w:rsidRPr="001B3CC9" w:rsidRDefault="00AD1804" w:rsidP="00AD1804">
          <w:pPr>
            <w:tabs>
              <w:tab w:val="left" w:pos="8820"/>
            </w:tabs>
            <w:jc w:val="both"/>
            <w:rPr>
              <w:rFonts w:ascii="Arial" w:hAnsi="Arial" w:cs="Arial"/>
              <w:sz w:val="20"/>
              <w:szCs w:val="20"/>
            </w:rPr>
          </w:pPr>
          <w:r w:rsidRPr="001B3CC9">
            <w:rPr>
              <w:rFonts w:ascii="Arial" w:hAnsi="Arial" w:cs="Arial"/>
              <w:sz w:val="20"/>
              <w:szCs w:val="20"/>
            </w:rPr>
            <w:fldChar w:fldCharType="end"/>
          </w:r>
        </w:p>
        <w:p w:rsidR="00AD1804" w:rsidRPr="001B3CC9" w:rsidRDefault="00AD1804" w:rsidP="00AD1804">
          <w:pPr>
            <w:tabs>
              <w:tab w:val="left" w:pos="8820"/>
            </w:tabs>
            <w:jc w:val="both"/>
            <w:rPr>
              <w:rFonts w:ascii="Arial" w:hAnsi="Arial" w:cs="Arial"/>
              <w:sz w:val="20"/>
              <w:szCs w:val="20"/>
            </w:rPr>
          </w:pPr>
        </w:p>
        <w:p w:rsidR="00AD1804" w:rsidRPr="001B3CC9" w:rsidRDefault="00AD1804" w:rsidP="00AD1804">
          <w:pPr>
            <w:tabs>
              <w:tab w:val="left" w:pos="8820"/>
            </w:tabs>
            <w:jc w:val="both"/>
            <w:rPr>
              <w:rFonts w:ascii="Arial" w:hAnsi="Arial" w:cs="Arial"/>
              <w:sz w:val="20"/>
              <w:szCs w:val="20"/>
            </w:rPr>
          </w:pPr>
        </w:p>
        <w:p w:rsidR="00AD1804" w:rsidRPr="001B3CC9" w:rsidRDefault="00AD1804" w:rsidP="00AD1804">
          <w:pPr>
            <w:tabs>
              <w:tab w:val="left" w:pos="8820"/>
            </w:tabs>
            <w:jc w:val="both"/>
            <w:rPr>
              <w:rFonts w:ascii="Arial" w:hAnsi="Arial" w:cs="Arial"/>
              <w:sz w:val="20"/>
              <w:szCs w:val="20"/>
            </w:rPr>
          </w:pPr>
        </w:p>
        <w:p w:rsidR="00AD1804" w:rsidRPr="001B3CC9" w:rsidRDefault="00AD1804" w:rsidP="00AD1804">
          <w:pPr>
            <w:tabs>
              <w:tab w:val="left" w:pos="8820"/>
            </w:tabs>
            <w:jc w:val="both"/>
            <w:rPr>
              <w:rFonts w:ascii="Arial" w:hAnsi="Arial" w:cs="Arial"/>
              <w:sz w:val="20"/>
              <w:szCs w:val="20"/>
            </w:rPr>
          </w:pPr>
        </w:p>
        <w:p w:rsidR="00AD1804" w:rsidRPr="001B3CC9" w:rsidRDefault="00AD1804" w:rsidP="00AD1804">
          <w:pPr>
            <w:tabs>
              <w:tab w:val="left" w:pos="8820"/>
            </w:tabs>
            <w:jc w:val="both"/>
            <w:rPr>
              <w:rFonts w:ascii="Arial" w:hAnsi="Arial" w:cs="Arial"/>
              <w:sz w:val="20"/>
              <w:szCs w:val="20"/>
            </w:rPr>
          </w:pPr>
        </w:p>
        <w:p w:rsidR="00AD1804" w:rsidRPr="001B3CC9" w:rsidRDefault="00AD1804" w:rsidP="00AD1804">
          <w:pPr>
            <w:tabs>
              <w:tab w:val="left" w:pos="8820"/>
            </w:tabs>
            <w:jc w:val="both"/>
            <w:rPr>
              <w:rFonts w:ascii="Arial" w:hAnsi="Arial" w:cs="Arial"/>
              <w:sz w:val="20"/>
              <w:szCs w:val="20"/>
            </w:rPr>
          </w:pPr>
        </w:p>
        <w:p w:rsidR="00AD1804" w:rsidRPr="001B3CC9" w:rsidRDefault="00AD1804" w:rsidP="00AD1804">
          <w:pPr>
            <w:tabs>
              <w:tab w:val="left" w:pos="8820"/>
            </w:tabs>
            <w:jc w:val="both"/>
            <w:rPr>
              <w:rFonts w:ascii="Arial" w:hAnsi="Arial" w:cs="Arial"/>
              <w:sz w:val="20"/>
              <w:szCs w:val="20"/>
            </w:rPr>
          </w:pPr>
        </w:p>
        <w:p w:rsidR="00AD1804" w:rsidRPr="001B3CC9" w:rsidRDefault="00AD1804" w:rsidP="00AD1804">
          <w:pPr>
            <w:tabs>
              <w:tab w:val="left" w:pos="8820"/>
            </w:tabs>
            <w:jc w:val="both"/>
            <w:rPr>
              <w:rFonts w:ascii="Arial" w:hAnsi="Arial" w:cs="Arial"/>
              <w:sz w:val="20"/>
              <w:szCs w:val="20"/>
            </w:rPr>
          </w:pPr>
        </w:p>
        <w:p w:rsidR="00AD1804" w:rsidRPr="001B3CC9" w:rsidRDefault="00AD1804" w:rsidP="00AD1804">
          <w:pPr>
            <w:tabs>
              <w:tab w:val="left" w:pos="8820"/>
            </w:tabs>
            <w:jc w:val="both"/>
            <w:rPr>
              <w:rFonts w:ascii="Arial" w:hAnsi="Arial" w:cs="Arial"/>
              <w:sz w:val="20"/>
              <w:szCs w:val="20"/>
            </w:rPr>
          </w:pPr>
        </w:p>
        <w:p w:rsidR="00AD1804" w:rsidRPr="001B3CC9" w:rsidRDefault="00AD1804" w:rsidP="00AD1804">
          <w:pPr>
            <w:tabs>
              <w:tab w:val="left" w:pos="8820"/>
            </w:tabs>
            <w:jc w:val="both"/>
            <w:rPr>
              <w:rFonts w:ascii="Arial" w:hAnsi="Arial" w:cs="Arial"/>
              <w:sz w:val="20"/>
              <w:szCs w:val="20"/>
            </w:rPr>
          </w:pPr>
        </w:p>
        <w:p w:rsidR="00AD1804" w:rsidRPr="001B3CC9" w:rsidRDefault="00AD1804" w:rsidP="00AD1804">
          <w:pPr>
            <w:tabs>
              <w:tab w:val="left" w:pos="8820"/>
            </w:tabs>
            <w:jc w:val="both"/>
            <w:rPr>
              <w:rFonts w:ascii="Arial" w:hAnsi="Arial" w:cs="Arial"/>
              <w:sz w:val="20"/>
              <w:szCs w:val="20"/>
            </w:rPr>
          </w:pPr>
        </w:p>
        <w:p w:rsidR="00AD1804" w:rsidRPr="001B3CC9" w:rsidRDefault="00AD1804" w:rsidP="00AD1804">
          <w:pPr>
            <w:tabs>
              <w:tab w:val="left" w:pos="8820"/>
            </w:tabs>
            <w:jc w:val="both"/>
            <w:rPr>
              <w:rFonts w:ascii="Arial" w:hAnsi="Arial" w:cs="Arial"/>
              <w:sz w:val="20"/>
              <w:szCs w:val="20"/>
            </w:rPr>
          </w:pPr>
        </w:p>
        <w:p w:rsidR="00AD1804" w:rsidRPr="001B3CC9" w:rsidRDefault="00AD1804" w:rsidP="00AD1804">
          <w:pPr>
            <w:tabs>
              <w:tab w:val="left" w:pos="8820"/>
            </w:tabs>
            <w:jc w:val="both"/>
            <w:rPr>
              <w:rFonts w:ascii="Arial" w:hAnsi="Arial" w:cs="Arial"/>
              <w:sz w:val="20"/>
              <w:szCs w:val="20"/>
            </w:rPr>
          </w:pPr>
        </w:p>
        <w:p w:rsidR="00AD1804" w:rsidRPr="001B3CC9" w:rsidRDefault="00AD1804" w:rsidP="00AD1804">
          <w:pPr>
            <w:tabs>
              <w:tab w:val="left" w:pos="8820"/>
            </w:tabs>
            <w:jc w:val="both"/>
            <w:rPr>
              <w:rFonts w:ascii="Arial" w:hAnsi="Arial" w:cs="Arial"/>
              <w:sz w:val="20"/>
              <w:szCs w:val="20"/>
            </w:rPr>
          </w:pPr>
        </w:p>
        <w:p w:rsidR="00AD1804" w:rsidRPr="001B3CC9" w:rsidRDefault="00AD1804" w:rsidP="00AD1804">
          <w:pPr>
            <w:tabs>
              <w:tab w:val="left" w:pos="8820"/>
            </w:tabs>
            <w:jc w:val="both"/>
            <w:rPr>
              <w:rFonts w:ascii="Arial" w:hAnsi="Arial" w:cs="Arial"/>
              <w:sz w:val="20"/>
              <w:szCs w:val="20"/>
            </w:rPr>
          </w:pPr>
        </w:p>
        <w:p w:rsidR="00AD1804" w:rsidRPr="001B3CC9" w:rsidRDefault="00A65792" w:rsidP="00AD1804">
          <w:pPr>
            <w:tabs>
              <w:tab w:val="left" w:pos="8820"/>
            </w:tabs>
            <w:jc w:val="both"/>
            <w:rPr>
              <w:rFonts w:ascii="Arial" w:hAnsi="Arial" w:cs="Arial"/>
            </w:rPr>
          </w:pPr>
        </w:p>
      </w:sdtContent>
    </w:sdt>
    <w:p w:rsidR="003A43E8" w:rsidRPr="001B3CC9" w:rsidRDefault="003A43E8" w:rsidP="00AD1804">
      <w:pPr>
        <w:tabs>
          <w:tab w:val="left" w:pos="8820"/>
        </w:tabs>
        <w:jc w:val="both"/>
        <w:rPr>
          <w:rFonts w:ascii="Arial" w:hAnsi="Arial" w:cs="Arial"/>
        </w:rPr>
      </w:pPr>
    </w:p>
    <w:p w:rsidR="003A43E8" w:rsidRPr="001B3CC9" w:rsidRDefault="003A43E8" w:rsidP="00AD1804">
      <w:pPr>
        <w:tabs>
          <w:tab w:val="left" w:pos="8820"/>
        </w:tabs>
        <w:jc w:val="both"/>
        <w:rPr>
          <w:rFonts w:ascii="Arial" w:hAnsi="Arial" w:cs="Arial"/>
        </w:rPr>
      </w:pPr>
    </w:p>
    <w:p w:rsidR="003A43E8" w:rsidRPr="001B3CC9" w:rsidRDefault="003A43E8" w:rsidP="00AD1804">
      <w:pPr>
        <w:tabs>
          <w:tab w:val="left" w:pos="8820"/>
        </w:tabs>
        <w:jc w:val="both"/>
        <w:rPr>
          <w:rFonts w:ascii="Arial" w:hAnsi="Arial" w:cs="Arial"/>
        </w:rPr>
      </w:pPr>
    </w:p>
    <w:p w:rsidR="003A43E8" w:rsidRPr="001B3CC9" w:rsidRDefault="003A43E8" w:rsidP="00AD1804">
      <w:pPr>
        <w:tabs>
          <w:tab w:val="left" w:pos="8820"/>
        </w:tabs>
        <w:jc w:val="both"/>
        <w:rPr>
          <w:rFonts w:ascii="Arial" w:hAnsi="Arial" w:cs="Arial"/>
        </w:rPr>
      </w:pPr>
    </w:p>
    <w:p w:rsidR="003A43E8" w:rsidRPr="001B3CC9" w:rsidRDefault="003A43E8" w:rsidP="00AD1804">
      <w:pPr>
        <w:tabs>
          <w:tab w:val="left" w:pos="8820"/>
        </w:tabs>
        <w:jc w:val="both"/>
        <w:rPr>
          <w:rFonts w:ascii="Arial" w:hAnsi="Arial" w:cs="Arial"/>
        </w:rPr>
      </w:pPr>
    </w:p>
    <w:p w:rsidR="00AD1804" w:rsidRPr="001B3CC9" w:rsidRDefault="00AD1804" w:rsidP="0094486A">
      <w:pPr>
        <w:pStyle w:val="Heading1"/>
        <w:numPr>
          <w:ilvl w:val="0"/>
          <w:numId w:val="0"/>
        </w:numPr>
        <w:spacing w:after="240"/>
        <w:jc w:val="both"/>
        <w:rPr>
          <w:rFonts w:ascii="Arial" w:hAnsi="Arial" w:cs="Arial"/>
          <w:color w:val="auto"/>
          <w:sz w:val="26"/>
          <w:szCs w:val="26"/>
        </w:rPr>
      </w:pPr>
      <w:bookmarkStart w:id="1" w:name="_Toc49343522"/>
      <w:bookmarkStart w:id="2" w:name="_Toc71887616"/>
      <w:r w:rsidRPr="001B3CC9">
        <w:rPr>
          <w:rFonts w:ascii="Arial" w:hAnsi="Arial" w:cs="Arial"/>
          <w:color w:val="auto"/>
          <w:sz w:val="26"/>
          <w:szCs w:val="26"/>
        </w:rPr>
        <w:lastRenderedPageBreak/>
        <w:t>Background</w:t>
      </w:r>
      <w:bookmarkEnd w:id="1"/>
      <w:bookmarkEnd w:id="2"/>
    </w:p>
    <w:p w:rsidR="00AD1804" w:rsidRPr="001B3CC9" w:rsidRDefault="00AD1804" w:rsidP="00D7536C">
      <w:pPr>
        <w:pStyle w:val="ListParagraph"/>
        <w:widowControl w:val="0"/>
        <w:autoSpaceDE w:val="0"/>
        <w:autoSpaceDN w:val="0"/>
        <w:spacing w:before="39" w:after="0" w:line="240" w:lineRule="auto"/>
        <w:ind w:left="0" w:right="90"/>
        <w:jc w:val="both"/>
        <w:rPr>
          <w:rFonts w:ascii="Arial" w:hAnsi="Arial" w:cs="Arial"/>
          <w:sz w:val="24"/>
          <w:szCs w:val="24"/>
        </w:rPr>
      </w:pPr>
      <w:r w:rsidRPr="001B3CC9">
        <w:rPr>
          <w:rFonts w:ascii="Arial" w:hAnsi="Arial" w:cs="Arial"/>
          <w:sz w:val="24"/>
          <w:szCs w:val="24"/>
        </w:rPr>
        <w:t>The economic fallout on account of the Covid-19 pandemic has led to significant financial stress for borrowers across the globe. The resultant stress can potentially impact the long-term viability of many firms, otherwise having a good track record under the existing promoters, due to their debt burden becoming disproportionate relative to their cash flow generation abilities. Such wide spread impact could impair the entire recovery process, posing significant financial stability risks.</w:t>
      </w:r>
    </w:p>
    <w:p w:rsidR="00AD1804" w:rsidRPr="001B3CC9" w:rsidRDefault="00AD1804" w:rsidP="00D7536C">
      <w:pPr>
        <w:pStyle w:val="ListParagraph"/>
        <w:widowControl w:val="0"/>
        <w:autoSpaceDE w:val="0"/>
        <w:autoSpaceDN w:val="0"/>
        <w:spacing w:before="39" w:after="0" w:line="240" w:lineRule="auto"/>
        <w:ind w:left="0" w:right="90"/>
        <w:jc w:val="both"/>
        <w:rPr>
          <w:rFonts w:ascii="Arial" w:hAnsi="Arial" w:cs="Arial"/>
          <w:sz w:val="24"/>
          <w:szCs w:val="24"/>
        </w:rPr>
      </w:pPr>
    </w:p>
    <w:p w:rsidR="0001535E" w:rsidRPr="001B3CC9" w:rsidRDefault="00AD1804" w:rsidP="00D7536C">
      <w:pPr>
        <w:pStyle w:val="Default"/>
        <w:jc w:val="both"/>
        <w:rPr>
          <w:lang w:val="en-US"/>
        </w:rPr>
      </w:pPr>
      <w:r w:rsidRPr="001B3CC9">
        <w:t xml:space="preserve">Considering the above, with the intent to facilitate revival of real sector activities and mitigate the impact on the ultimate borrowers, </w:t>
      </w:r>
      <w:r w:rsidR="0001535E" w:rsidRPr="001B3CC9">
        <w:rPr>
          <w:lang w:val="en-US"/>
        </w:rPr>
        <w:t xml:space="preserve">RBI had provided a </w:t>
      </w:r>
      <w:r w:rsidR="00FB3300">
        <w:rPr>
          <w:lang w:val="en-US"/>
        </w:rPr>
        <w:t>framework</w:t>
      </w:r>
      <w:r w:rsidR="0001535E" w:rsidRPr="001B3CC9">
        <w:rPr>
          <w:lang w:val="en-US"/>
        </w:rPr>
        <w:t xml:space="preserve"> </w:t>
      </w:r>
      <w:r w:rsidR="001B1088" w:rsidRPr="001B3CC9">
        <w:rPr>
          <w:lang w:val="en-US"/>
        </w:rPr>
        <w:t>(</w:t>
      </w:r>
      <w:r w:rsidR="001B1088" w:rsidRPr="001B3CC9">
        <w:rPr>
          <w:bCs/>
          <w:lang w:val="en-US"/>
        </w:rPr>
        <w:t>Resolution Framework – 1.0)</w:t>
      </w:r>
      <w:r w:rsidR="001B1088" w:rsidRPr="001B3CC9">
        <w:rPr>
          <w:lang w:val="en-US"/>
        </w:rPr>
        <w:t xml:space="preserve"> </w:t>
      </w:r>
      <w:r w:rsidR="0001535E" w:rsidRPr="001B3CC9">
        <w:rPr>
          <w:lang w:val="en-US"/>
        </w:rPr>
        <w:t xml:space="preserve">to enable lenders to implement a resolution plan in respect of eligible corporate exposures without change in ownership, and personal loans, while classifying such exposures as Standard, subject to specified conditions. </w:t>
      </w:r>
    </w:p>
    <w:p w:rsidR="0001535E" w:rsidRPr="001B3CC9" w:rsidRDefault="0001535E" w:rsidP="00D7536C">
      <w:pPr>
        <w:pStyle w:val="Default"/>
        <w:rPr>
          <w:rFonts w:ascii="Times New Roman" w:hAnsi="Times New Roman" w:cs="Times New Roman"/>
          <w:lang w:val="en-US"/>
        </w:rPr>
      </w:pPr>
      <w:r w:rsidRPr="001B3CC9">
        <w:rPr>
          <w:rFonts w:ascii="Times New Roman" w:hAnsi="Times New Roman" w:cs="Times New Roman"/>
          <w:sz w:val="23"/>
          <w:szCs w:val="23"/>
          <w:lang w:val="en-US"/>
        </w:rPr>
        <w:t xml:space="preserve"> </w:t>
      </w:r>
    </w:p>
    <w:p w:rsidR="0001535E" w:rsidRPr="001B3CC9" w:rsidRDefault="0001535E" w:rsidP="00D7536C">
      <w:pPr>
        <w:pStyle w:val="Default"/>
        <w:jc w:val="both"/>
        <w:rPr>
          <w:lang w:val="en-US"/>
        </w:rPr>
      </w:pPr>
      <w:r w:rsidRPr="001B3CC9">
        <w:rPr>
          <w:lang w:val="en-US"/>
        </w:rPr>
        <w:t>The resurgence of Covid-19 pandemic in India in the recent weeks and the consequent containment measures to check the spread of the pandemic may impact the recovery process and create new uncertainties. With the objective of alleviating the potential stress to individual borrowers and small businesses, the following set of measures are being announced. These set of measures are broadly in line with the contours of the Resolution Framework - 1.0, with suitable modifications.</w:t>
      </w:r>
    </w:p>
    <w:p w:rsidR="00977C8B" w:rsidRPr="00977C8B" w:rsidRDefault="00977C8B" w:rsidP="00D7536C">
      <w:pPr>
        <w:autoSpaceDE w:val="0"/>
        <w:autoSpaceDN w:val="0"/>
        <w:adjustRightInd w:val="0"/>
        <w:spacing w:after="0" w:line="240" w:lineRule="auto"/>
        <w:rPr>
          <w:rFonts w:ascii="Times New Roman" w:hAnsi="Times New Roman" w:cs="Times New Roman"/>
          <w:color w:val="000000"/>
          <w:sz w:val="24"/>
          <w:szCs w:val="24"/>
          <w:lang w:val="en-US"/>
        </w:rPr>
      </w:pPr>
    </w:p>
    <w:p w:rsidR="00977C8B" w:rsidRPr="001B3CC9" w:rsidRDefault="00977C8B" w:rsidP="00D7536C">
      <w:pPr>
        <w:pStyle w:val="Default"/>
        <w:jc w:val="both"/>
        <w:rPr>
          <w:lang w:val="en-US"/>
        </w:rPr>
      </w:pPr>
      <w:r w:rsidRPr="001B3CC9">
        <w:rPr>
          <w:szCs w:val="23"/>
          <w:lang w:val="en-US"/>
        </w:rPr>
        <w:t xml:space="preserve">Part A of this policy pertains to requirements specific to resolution of advances to individuals and small businesses and Part B pertains to working capital support for: (i) individuals who have availed of loans for business purposes, and (ii) small businesses, where resolution plans were implemented previously. Part C lists the disclosure requirements for the lending institutions with respect to the resolution plans implemented under this </w:t>
      </w:r>
      <w:r w:rsidR="00FB3300">
        <w:rPr>
          <w:szCs w:val="23"/>
          <w:lang w:val="en-US"/>
        </w:rPr>
        <w:t>framework</w:t>
      </w:r>
      <w:r w:rsidRPr="001B3CC9">
        <w:rPr>
          <w:szCs w:val="23"/>
          <w:lang w:val="en-US"/>
        </w:rPr>
        <w:t>.</w:t>
      </w:r>
    </w:p>
    <w:p w:rsidR="0001535E" w:rsidRPr="001B3CC9" w:rsidRDefault="0001535E" w:rsidP="00D7536C">
      <w:pPr>
        <w:pStyle w:val="Default"/>
        <w:jc w:val="both"/>
        <w:rPr>
          <w:lang w:val="en-US"/>
        </w:rPr>
      </w:pPr>
    </w:p>
    <w:p w:rsidR="00AD1804" w:rsidRPr="001B3CC9" w:rsidRDefault="00AD1804" w:rsidP="00D7536C">
      <w:pPr>
        <w:spacing w:after="0" w:line="240" w:lineRule="auto"/>
        <w:jc w:val="both"/>
        <w:rPr>
          <w:rFonts w:ascii="Arial" w:hAnsi="Arial" w:cs="Arial"/>
          <w:sz w:val="24"/>
          <w:szCs w:val="24"/>
        </w:rPr>
      </w:pPr>
      <w:r w:rsidRPr="001B3CC9">
        <w:rPr>
          <w:rFonts w:ascii="Arial" w:hAnsi="Arial" w:cs="Arial"/>
          <w:sz w:val="24"/>
          <w:szCs w:val="24"/>
        </w:rPr>
        <w:t xml:space="preserve">The RBI has directed the lenders to adopt a Board approved policy for Resolution Framework for Covid-19 Related Stress, ensuring that the resolution under this facility is extended only to borrowers having stress on account of Covid-19. </w:t>
      </w:r>
    </w:p>
    <w:p w:rsidR="00AD1804" w:rsidRDefault="00AD1804" w:rsidP="00AD1804">
      <w:pPr>
        <w:spacing w:after="0" w:line="240" w:lineRule="auto"/>
        <w:ind w:left="450"/>
        <w:jc w:val="both"/>
        <w:rPr>
          <w:rFonts w:ascii="Arial" w:hAnsi="Arial" w:cs="Arial"/>
          <w:sz w:val="24"/>
          <w:szCs w:val="24"/>
        </w:rPr>
      </w:pPr>
    </w:p>
    <w:p w:rsidR="00E3104C" w:rsidRDefault="00E3104C" w:rsidP="00AD1804">
      <w:pPr>
        <w:spacing w:after="0" w:line="240" w:lineRule="auto"/>
        <w:ind w:left="450"/>
        <w:jc w:val="both"/>
        <w:rPr>
          <w:rFonts w:ascii="Arial" w:hAnsi="Arial" w:cs="Arial"/>
          <w:sz w:val="24"/>
          <w:szCs w:val="24"/>
        </w:rPr>
      </w:pPr>
    </w:p>
    <w:p w:rsidR="00E3104C" w:rsidRDefault="00E3104C" w:rsidP="00AD1804">
      <w:pPr>
        <w:spacing w:after="0" w:line="240" w:lineRule="auto"/>
        <w:ind w:left="450"/>
        <w:jc w:val="both"/>
        <w:rPr>
          <w:rFonts w:ascii="Arial" w:hAnsi="Arial" w:cs="Arial"/>
          <w:sz w:val="24"/>
          <w:szCs w:val="24"/>
        </w:rPr>
      </w:pPr>
    </w:p>
    <w:p w:rsidR="00E3104C" w:rsidRDefault="00E3104C" w:rsidP="00AD1804">
      <w:pPr>
        <w:spacing w:after="0" w:line="240" w:lineRule="auto"/>
        <w:ind w:left="450"/>
        <w:jc w:val="both"/>
        <w:rPr>
          <w:rFonts w:ascii="Arial" w:hAnsi="Arial" w:cs="Arial"/>
          <w:sz w:val="24"/>
          <w:szCs w:val="24"/>
        </w:rPr>
      </w:pPr>
    </w:p>
    <w:p w:rsidR="00E3104C" w:rsidRDefault="00E3104C" w:rsidP="00AD1804">
      <w:pPr>
        <w:spacing w:after="0" w:line="240" w:lineRule="auto"/>
        <w:ind w:left="450"/>
        <w:jc w:val="both"/>
        <w:rPr>
          <w:rFonts w:ascii="Arial" w:hAnsi="Arial" w:cs="Arial"/>
          <w:sz w:val="24"/>
          <w:szCs w:val="24"/>
        </w:rPr>
      </w:pPr>
    </w:p>
    <w:p w:rsidR="00E3104C" w:rsidRDefault="00E3104C" w:rsidP="00AD1804">
      <w:pPr>
        <w:spacing w:after="0" w:line="240" w:lineRule="auto"/>
        <w:ind w:left="450"/>
        <w:jc w:val="both"/>
        <w:rPr>
          <w:rFonts w:ascii="Arial" w:hAnsi="Arial" w:cs="Arial"/>
          <w:sz w:val="24"/>
          <w:szCs w:val="24"/>
        </w:rPr>
      </w:pPr>
    </w:p>
    <w:p w:rsidR="00E3104C" w:rsidRDefault="00E3104C" w:rsidP="00AD1804">
      <w:pPr>
        <w:spacing w:after="0" w:line="240" w:lineRule="auto"/>
        <w:ind w:left="450"/>
        <w:jc w:val="both"/>
        <w:rPr>
          <w:rFonts w:ascii="Arial" w:hAnsi="Arial" w:cs="Arial"/>
          <w:sz w:val="24"/>
          <w:szCs w:val="24"/>
        </w:rPr>
      </w:pPr>
    </w:p>
    <w:p w:rsidR="00E3104C" w:rsidRDefault="00E3104C" w:rsidP="00AD1804">
      <w:pPr>
        <w:spacing w:after="0" w:line="240" w:lineRule="auto"/>
        <w:ind w:left="450"/>
        <w:jc w:val="both"/>
        <w:rPr>
          <w:rFonts w:ascii="Arial" w:hAnsi="Arial" w:cs="Arial"/>
          <w:sz w:val="24"/>
          <w:szCs w:val="24"/>
        </w:rPr>
      </w:pPr>
    </w:p>
    <w:p w:rsidR="00E3104C" w:rsidRDefault="00E3104C" w:rsidP="00AD1804">
      <w:pPr>
        <w:spacing w:after="0" w:line="240" w:lineRule="auto"/>
        <w:ind w:left="450"/>
        <w:jc w:val="both"/>
        <w:rPr>
          <w:rFonts w:ascii="Arial" w:hAnsi="Arial" w:cs="Arial"/>
          <w:sz w:val="24"/>
          <w:szCs w:val="24"/>
        </w:rPr>
      </w:pPr>
    </w:p>
    <w:p w:rsidR="00E3104C" w:rsidRDefault="00E3104C" w:rsidP="00AD1804">
      <w:pPr>
        <w:spacing w:after="0" w:line="240" w:lineRule="auto"/>
        <w:ind w:left="450"/>
        <w:jc w:val="both"/>
        <w:rPr>
          <w:rFonts w:ascii="Arial" w:hAnsi="Arial" w:cs="Arial"/>
          <w:sz w:val="24"/>
          <w:szCs w:val="24"/>
        </w:rPr>
      </w:pPr>
    </w:p>
    <w:p w:rsidR="00E3104C" w:rsidRDefault="00E3104C" w:rsidP="00AD1804">
      <w:pPr>
        <w:spacing w:after="0" w:line="240" w:lineRule="auto"/>
        <w:ind w:left="450"/>
        <w:jc w:val="both"/>
        <w:rPr>
          <w:rFonts w:ascii="Arial" w:hAnsi="Arial" w:cs="Arial"/>
          <w:sz w:val="24"/>
          <w:szCs w:val="24"/>
        </w:rPr>
      </w:pPr>
    </w:p>
    <w:p w:rsidR="00E3104C" w:rsidRDefault="00E3104C" w:rsidP="00AD1804">
      <w:pPr>
        <w:spacing w:after="0" w:line="240" w:lineRule="auto"/>
        <w:ind w:left="450"/>
        <w:jc w:val="both"/>
        <w:rPr>
          <w:rFonts w:ascii="Arial" w:hAnsi="Arial" w:cs="Arial"/>
          <w:sz w:val="24"/>
          <w:szCs w:val="24"/>
        </w:rPr>
      </w:pPr>
    </w:p>
    <w:p w:rsidR="00E3104C" w:rsidRDefault="00E3104C" w:rsidP="00AD1804">
      <w:pPr>
        <w:spacing w:after="0" w:line="240" w:lineRule="auto"/>
        <w:ind w:left="450"/>
        <w:jc w:val="both"/>
        <w:rPr>
          <w:rFonts w:ascii="Arial" w:hAnsi="Arial" w:cs="Arial"/>
          <w:sz w:val="24"/>
          <w:szCs w:val="24"/>
        </w:rPr>
      </w:pPr>
    </w:p>
    <w:p w:rsidR="00E3104C" w:rsidRDefault="00E3104C" w:rsidP="00AD1804">
      <w:pPr>
        <w:spacing w:after="0" w:line="240" w:lineRule="auto"/>
        <w:ind w:left="450"/>
        <w:jc w:val="both"/>
        <w:rPr>
          <w:rFonts w:ascii="Arial" w:hAnsi="Arial" w:cs="Arial"/>
          <w:sz w:val="24"/>
          <w:szCs w:val="24"/>
        </w:rPr>
      </w:pPr>
    </w:p>
    <w:p w:rsidR="00E3104C" w:rsidRDefault="00E3104C" w:rsidP="00AD1804">
      <w:pPr>
        <w:spacing w:after="0" w:line="240" w:lineRule="auto"/>
        <w:ind w:left="450"/>
        <w:jc w:val="both"/>
        <w:rPr>
          <w:rFonts w:ascii="Arial" w:hAnsi="Arial" w:cs="Arial"/>
          <w:sz w:val="24"/>
          <w:szCs w:val="24"/>
        </w:rPr>
      </w:pPr>
    </w:p>
    <w:p w:rsidR="00E3104C" w:rsidRPr="001B3CC9" w:rsidRDefault="00E3104C" w:rsidP="00AD1804">
      <w:pPr>
        <w:spacing w:after="0" w:line="240" w:lineRule="auto"/>
        <w:ind w:left="450"/>
        <w:jc w:val="both"/>
        <w:rPr>
          <w:rFonts w:ascii="Arial" w:hAnsi="Arial" w:cs="Arial"/>
          <w:sz w:val="24"/>
          <w:szCs w:val="24"/>
        </w:rPr>
      </w:pPr>
    </w:p>
    <w:p w:rsidR="00300373" w:rsidRPr="001B3CC9" w:rsidRDefault="00300373" w:rsidP="00395B6C">
      <w:pPr>
        <w:autoSpaceDE w:val="0"/>
        <w:autoSpaceDN w:val="0"/>
        <w:adjustRightInd w:val="0"/>
        <w:spacing w:after="0" w:line="240" w:lineRule="auto"/>
        <w:jc w:val="center"/>
        <w:rPr>
          <w:rFonts w:ascii="Arial" w:hAnsi="Arial" w:cs="Arial"/>
          <w:color w:val="000000"/>
          <w:sz w:val="26"/>
          <w:szCs w:val="26"/>
          <w:u w:val="single"/>
          <w:lang w:val="en-US"/>
        </w:rPr>
      </w:pPr>
      <w:r w:rsidRPr="001B3CC9">
        <w:rPr>
          <w:rFonts w:ascii="Arial" w:hAnsi="Arial" w:cs="Arial"/>
          <w:b/>
          <w:bCs/>
          <w:color w:val="000000"/>
          <w:sz w:val="26"/>
          <w:szCs w:val="26"/>
          <w:u w:val="single"/>
          <w:lang w:val="en-US"/>
        </w:rPr>
        <w:lastRenderedPageBreak/>
        <w:t>A. Resolution of advances to individuals and small businesses</w:t>
      </w:r>
    </w:p>
    <w:p w:rsidR="00AD1804" w:rsidRPr="001B3CC9" w:rsidRDefault="00AD1804" w:rsidP="00395B6C">
      <w:pPr>
        <w:pStyle w:val="Heading1"/>
        <w:numPr>
          <w:ilvl w:val="0"/>
          <w:numId w:val="12"/>
        </w:numPr>
        <w:spacing w:after="240"/>
        <w:ind w:left="360"/>
        <w:jc w:val="both"/>
        <w:rPr>
          <w:rFonts w:ascii="Arial" w:hAnsi="Arial" w:cs="Arial"/>
          <w:color w:val="auto"/>
          <w:sz w:val="26"/>
          <w:szCs w:val="26"/>
        </w:rPr>
      </w:pPr>
      <w:bookmarkStart w:id="3" w:name="_Toc71887617"/>
      <w:r w:rsidRPr="001B3CC9">
        <w:rPr>
          <w:rFonts w:ascii="Arial" w:hAnsi="Arial" w:cs="Arial"/>
          <w:color w:val="auto"/>
          <w:sz w:val="26"/>
          <w:szCs w:val="26"/>
        </w:rPr>
        <w:t>Eligible Borrowers for Resolution</w:t>
      </w:r>
      <w:bookmarkEnd w:id="3"/>
      <w:r w:rsidRPr="001B3CC9">
        <w:rPr>
          <w:rFonts w:ascii="Arial" w:hAnsi="Arial" w:cs="Arial"/>
          <w:color w:val="auto"/>
          <w:sz w:val="26"/>
          <w:szCs w:val="26"/>
        </w:rPr>
        <w:t xml:space="preserve"> </w:t>
      </w:r>
    </w:p>
    <w:p w:rsidR="00AD1804" w:rsidRPr="001B3CC9" w:rsidRDefault="00AD1804" w:rsidP="00395B6C">
      <w:pPr>
        <w:pStyle w:val="Default"/>
        <w:ind w:left="360"/>
        <w:jc w:val="both"/>
        <w:rPr>
          <w:color w:val="auto"/>
        </w:rPr>
      </w:pPr>
      <w:r w:rsidRPr="001B3CC9">
        <w:rPr>
          <w:color w:val="auto"/>
        </w:rPr>
        <w:t xml:space="preserve">The following categories of borrowers shall be eligible for resolution plan under this framework: </w:t>
      </w:r>
    </w:p>
    <w:p w:rsidR="00AD1804" w:rsidRPr="001B3CC9" w:rsidRDefault="00AD1804" w:rsidP="00AD1804">
      <w:pPr>
        <w:pStyle w:val="Default"/>
        <w:ind w:left="720"/>
        <w:rPr>
          <w:color w:val="auto"/>
        </w:rPr>
      </w:pPr>
    </w:p>
    <w:p w:rsidR="00AD1804" w:rsidRPr="001B3CC9" w:rsidRDefault="00AD1804" w:rsidP="00395B6C">
      <w:pPr>
        <w:pStyle w:val="ListParagraph"/>
        <w:numPr>
          <w:ilvl w:val="0"/>
          <w:numId w:val="4"/>
        </w:numPr>
        <w:autoSpaceDE w:val="0"/>
        <w:autoSpaceDN w:val="0"/>
        <w:adjustRightInd w:val="0"/>
        <w:spacing w:after="0" w:line="240" w:lineRule="auto"/>
        <w:ind w:left="900"/>
        <w:jc w:val="both"/>
        <w:rPr>
          <w:rFonts w:ascii="Times New Roman" w:hAnsi="Times New Roman" w:cs="Times New Roman"/>
          <w:color w:val="000000"/>
          <w:sz w:val="24"/>
          <w:szCs w:val="24"/>
          <w:lang w:val="en-US"/>
        </w:rPr>
      </w:pPr>
      <w:r w:rsidRPr="001B3CC9">
        <w:rPr>
          <w:rFonts w:ascii="Arial" w:hAnsi="Arial" w:cs="Arial"/>
          <w:color w:val="000000"/>
          <w:sz w:val="24"/>
          <w:szCs w:val="24"/>
          <w:lang w:val="en-US"/>
        </w:rPr>
        <w:t xml:space="preserve">Individuals who have availed of personal loans excluding the credit facilities provided to their own personnel/staff. </w:t>
      </w:r>
    </w:p>
    <w:p w:rsidR="00AD1804" w:rsidRPr="001B3CC9" w:rsidRDefault="00AD1804" w:rsidP="00395B6C">
      <w:pPr>
        <w:pStyle w:val="ListParagraph"/>
        <w:numPr>
          <w:ilvl w:val="0"/>
          <w:numId w:val="4"/>
        </w:numPr>
        <w:autoSpaceDE w:val="0"/>
        <w:autoSpaceDN w:val="0"/>
        <w:adjustRightInd w:val="0"/>
        <w:spacing w:after="0" w:line="240" w:lineRule="auto"/>
        <w:ind w:left="900"/>
        <w:jc w:val="both"/>
        <w:rPr>
          <w:rFonts w:ascii="Arial" w:hAnsi="Arial" w:cs="Arial"/>
          <w:color w:val="000000"/>
          <w:sz w:val="24"/>
          <w:szCs w:val="24"/>
          <w:lang w:val="en-US"/>
        </w:rPr>
      </w:pPr>
      <w:r w:rsidRPr="001B3CC9">
        <w:rPr>
          <w:rFonts w:ascii="Arial" w:hAnsi="Arial" w:cs="Arial"/>
          <w:color w:val="000000"/>
          <w:sz w:val="24"/>
          <w:szCs w:val="24"/>
          <w:lang w:val="en-US"/>
        </w:rPr>
        <w:t xml:space="preserve">Individuals who have availed of loans and advances for business purposes and to whom the lending institutions have aggregate exposure of not more than Rs.25 cr as on March 31, 2021. </w:t>
      </w:r>
    </w:p>
    <w:p w:rsidR="002F44EF" w:rsidRDefault="002F44EF" w:rsidP="00395B6C">
      <w:pPr>
        <w:pStyle w:val="ListParagraph"/>
        <w:numPr>
          <w:ilvl w:val="0"/>
          <w:numId w:val="4"/>
        </w:numPr>
        <w:autoSpaceDE w:val="0"/>
        <w:autoSpaceDN w:val="0"/>
        <w:adjustRightInd w:val="0"/>
        <w:spacing w:after="0" w:line="240" w:lineRule="auto"/>
        <w:ind w:left="900"/>
        <w:jc w:val="both"/>
        <w:rPr>
          <w:rFonts w:ascii="Arial" w:hAnsi="Arial" w:cs="Arial"/>
          <w:color w:val="000000"/>
          <w:sz w:val="24"/>
          <w:szCs w:val="24"/>
          <w:lang w:val="en-US"/>
        </w:rPr>
      </w:pPr>
      <w:r w:rsidRPr="001B3CC9">
        <w:rPr>
          <w:rFonts w:ascii="Arial" w:hAnsi="Arial" w:cs="Arial"/>
          <w:color w:val="000000"/>
          <w:sz w:val="24"/>
          <w:szCs w:val="24"/>
          <w:lang w:val="en-US"/>
        </w:rPr>
        <w:t xml:space="preserve">Small businesses, including those engaged in retail and wholesale trade, other than those classified as micro, small and medium enterprises as on March 31, 2021, and to whom the lending institutions have aggregate exposure of not more than Rs.25 cr as on March 31, 2021. </w:t>
      </w:r>
    </w:p>
    <w:p w:rsidR="002F270C" w:rsidRPr="001B3CC9" w:rsidRDefault="002F270C" w:rsidP="002F270C">
      <w:pPr>
        <w:pStyle w:val="ListParagraph"/>
        <w:autoSpaceDE w:val="0"/>
        <w:autoSpaceDN w:val="0"/>
        <w:adjustRightInd w:val="0"/>
        <w:spacing w:after="0" w:line="240" w:lineRule="auto"/>
        <w:ind w:left="900"/>
        <w:jc w:val="both"/>
        <w:rPr>
          <w:rFonts w:ascii="Arial" w:hAnsi="Arial" w:cs="Arial"/>
          <w:color w:val="000000"/>
          <w:sz w:val="24"/>
          <w:szCs w:val="24"/>
          <w:lang w:val="en-US"/>
        </w:rPr>
      </w:pPr>
    </w:p>
    <w:p w:rsidR="00A35A70" w:rsidRPr="00DD7C0C" w:rsidRDefault="00DA0C90" w:rsidP="00007B4B">
      <w:pPr>
        <w:autoSpaceDE w:val="0"/>
        <w:autoSpaceDN w:val="0"/>
        <w:adjustRightInd w:val="0"/>
        <w:spacing w:after="0" w:line="240" w:lineRule="auto"/>
        <w:ind w:left="450"/>
        <w:jc w:val="both"/>
        <w:rPr>
          <w:rFonts w:ascii="Arial" w:hAnsi="Arial" w:cs="Arial"/>
          <w:color w:val="000000"/>
          <w:sz w:val="24"/>
          <w:szCs w:val="24"/>
          <w:lang w:val="en-US"/>
        </w:rPr>
      </w:pPr>
      <w:r w:rsidRPr="00DD7C0C">
        <w:rPr>
          <w:rFonts w:ascii="Arial" w:hAnsi="Arial" w:cs="Arial"/>
          <w:sz w:val="24"/>
          <w:szCs w:val="24"/>
        </w:rPr>
        <w:t>Credit facilities / investment exposure to the borrower was classified as Standard by the lending institution as on March 31, 2021.</w:t>
      </w:r>
      <w:r w:rsidR="00DD7C0C" w:rsidRPr="00DD7C0C">
        <w:rPr>
          <w:rFonts w:ascii="Arial" w:hAnsi="Arial" w:cs="Arial"/>
          <w:sz w:val="24"/>
          <w:szCs w:val="24"/>
        </w:rPr>
        <w:t xml:space="preserve"> </w:t>
      </w:r>
      <w:r w:rsidR="00A35A70" w:rsidRPr="00DD7C0C">
        <w:rPr>
          <w:rFonts w:ascii="Arial" w:hAnsi="Arial" w:cs="Arial"/>
          <w:sz w:val="24"/>
          <w:szCs w:val="24"/>
        </w:rPr>
        <w:t>The borrower accounts should not have availed of any resolution in terms of the Resolution Framework – 1.0</w:t>
      </w:r>
    </w:p>
    <w:p w:rsidR="00AD1804" w:rsidRPr="001B3CC9" w:rsidRDefault="00AD1804" w:rsidP="00007B4B">
      <w:pPr>
        <w:pStyle w:val="ListParagraph"/>
        <w:autoSpaceDE w:val="0"/>
        <w:autoSpaceDN w:val="0"/>
        <w:adjustRightInd w:val="0"/>
        <w:spacing w:after="0" w:line="240" w:lineRule="auto"/>
        <w:ind w:left="450"/>
        <w:rPr>
          <w:rFonts w:ascii="Times New Roman" w:hAnsi="Times New Roman" w:cs="Times New Roman"/>
          <w:color w:val="000000"/>
          <w:sz w:val="23"/>
          <w:szCs w:val="23"/>
          <w:lang w:val="en-US"/>
        </w:rPr>
      </w:pPr>
    </w:p>
    <w:p w:rsidR="00924B77" w:rsidRPr="001B3CC9" w:rsidRDefault="00924B77" w:rsidP="00007B4B">
      <w:pPr>
        <w:pStyle w:val="Default"/>
        <w:ind w:left="450"/>
        <w:jc w:val="both"/>
        <w:rPr>
          <w:color w:val="auto"/>
        </w:rPr>
      </w:pPr>
      <w:r w:rsidRPr="001B3CC9">
        <w:rPr>
          <w:color w:val="auto"/>
        </w:rPr>
        <w:t xml:space="preserve">The following categories of borrowers / credit facilities shall not be eligible for a resolution plan under this framework: </w:t>
      </w:r>
    </w:p>
    <w:p w:rsidR="00AD1804" w:rsidRPr="001B3CC9" w:rsidRDefault="00AD1804" w:rsidP="00924B77">
      <w:pPr>
        <w:pStyle w:val="Default"/>
        <w:ind w:left="1440"/>
        <w:jc w:val="both"/>
        <w:rPr>
          <w:color w:val="auto"/>
        </w:rPr>
      </w:pPr>
    </w:p>
    <w:p w:rsidR="00AD1804" w:rsidRPr="001B3CC9" w:rsidRDefault="00AD1804" w:rsidP="00395B6C">
      <w:pPr>
        <w:pStyle w:val="Default"/>
        <w:numPr>
          <w:ilvl w:val="0"/>
          <w:numId w:val="4"/>
        </w:numPr>
        <w:ind w:left="900"/>
        <w:jc w:val="both"/>
        <w:rPr>
          <w:color w:val="auto"/>
        </w:rPr>
      </w:pPr>
      <w:r w:rsidRPr="001B3CC9">
        <w:rPr>
          <w:color w:val="auto"/>
        </w:rPr>
        <w:t xml:space="preserve">MSME borrowers whose aggregate exposure to lending institutions collectively, is Rs. 25 crore or less as on March 1, 2020. </w:t>
      </w:r>
    </w:p>
    <w:p w:rsidR="00AD1804" w:rsidRPr="001B3CC9" w:rsidRDefault="00AD1804" w:rsidP="00395B6C">
      <w:pPr>
        <w:pStyle w:val="Default"/>
        <w:numPr>
          <w:ilvl w:val="0"/>
          <w:numId w:val="4"/>
        </w:numPr>
        <w:ind w:left="900"/>
        <w:jc w:val="both"/>
        <w:rPr>
          <w:color w:val="auto"/>
        </w:rPr>
      </w:pPr>
      <w:r w:rsidRPr="001B3CC9">
        <w:rPr>
          <w:color w:val="auto"/>
        </w:rPr>
        <w:t xml:space="preserve">Farm credit as listed in Paragraph 6.1 of Master Direction FIDD.CO.Plan.1/04.09.01/2016-17 dated July 7, 2016 (as updated) or other relevant instructions as applicable to specific category of lending institutions. </w:t>
      </w:r>
    </w:p>
    <w:p w:rsidR="00AD1804" w:rsidRPr="001B3CC9" w:rsidRDefault="00AD1804" w:rsidP="00395B6C">
      <w:pPr>
        <w:pStyle w:val="Default"/>
        <w:numPr>
          <w:ilvl w:val="0"/>
          <w:numId w:val="4"/>
        </w:numPr>
        <w:ind w:left="900"/>
        <w:jc w:val="both"/>
        <w:rPr>
          <w:color w:val="auto"/>
        </w:rPr>
      </w:pPr>
      <w:r w:rsidRPr="001B3CC9">
        <w:rPr>
          <w:color w:val="auto"/>
        </w:rPr>
        <w:t xml:space="preserve">Loans to Primary Agricultural Credit Societies (PACS), Farmers' Service Societies (FSS) and Large-sized Adivasi Multi- Purpose Societies (LAMPS) for on-lending to agriculture. </w:t>
      </w:r>
    </w:p>
    <w:p w:rsidR="00AD1804" w:rsidRPr="001B3CC9" w:rsidRDefault="00AD1804" w:rsidP="00395B6C">
      <w:pPr>
        <w:pStyle w:val="Default"/>
        <w:numPr>
          <w:ilvl w:val="0"/>
          <w:numId w:val="4"/>
        </w:numPr>
        <w:ind w:left="900"/>
        <w:jc w:val="both"/>
        <w:rPr>
          <w:color w:val="auto"/>
        </w:rPr>
      </w:pPr>
      <w:r w:rsidRPr="001B3CC9">
        <w:rPr>
          <w:color w:val="auto"/>
        </w:rPr>
        <w:t xml:space="preserve">Exposures of lending institutions to financial service providers. </w:t>
      </w:r>
    </w:p>
    <w:p w:rsidR="00AD1804" w:rsidRPr="001B3CC9" w:rsidRDefault="00AD1804" w:rsidP="00395B6C">
      <w:pPr>
        <w:pStyle w:val="Default"/>
        <w:numPr>
          <w:ilvl w:val="0"/>
          <w:numId w:val="4"/>
        </w:numPr>
        <w:ind w:left="900"/>
        <w:jc w:val="both"/>
        <w:rPr>
          <w:color w:val="auto"/>
        </w:rPr>
      </w:pPr>
      <w:r w:rsidRPr="001B3CC9">
        <w:rPr>
          <w:color w:val="auto"/>
        </w:rPr>
        <w:t xml:space="preserve">Exposures of lending institutions to Central and State Governments; Local Government bodies (e.g. Municipal Corporations); and, body corporates established by an Act of Parliament or State Legislature. </w:t>
      </w:r>
    </w:p>
    <w:p w:rsidR="00AD1804" w:rsidRPr="001B3CC9" w:rsidRDefault="00AD1804" w:rsidP="00007B4B">
      <w:pPr>
        <w:pStyle w:val="Heading1"/>
        <w:numPr>
          <w:ilvl w:val="0"/>
          <w:numId w:val="12"/>
        </w:numPr>
        <w:spacing w:after="240"/>
        <w:ind w:left="270"/>
        <w:jc w:val="both"/>
        <w:rPr>
          <w:rFonts w:ascii="Arial" w:hAnsi="Arial" w:cs="Arial"/>
          <w:color w:val="auto"/>
          <w:sz w:val="26"/>
          <w:szCs w:val="26"/>
        </w:rPr>
      </w:pPr>
      <w:r w:rsidRPr="001B3CC9">
        <w:rPr>
          <w:rFonts w:ascii="Arial" w:hAnsi="Arial" w:cs="Arial"/>
          <w:color w:val="auto"/>
          <w:sz w:val="26"/>
          <w:szCs w:val="26"/>
        </w:rPr>
        <w:t xml:space="preserve"> </w:t>
      </w:r>
      <w:bookmarkStart w:id="4" w:name="_Toc71887618"/>
      <w:r w:rsidRPr="001B3CC9">
        <w:rPr>
          <w:rFonts w:ascii="Arial" w:hAnsi="Arial" w:cs="Arial"/>
          <w:color w:val="auto"/>
          <w:sz w:val="26"/>
          <w:szCs w:val="26"/>
        </w:rPr>
        <w:t>Timeline</w:t>
      </w:r>
      <w:bookmarkEnd w:id="4"/>
      <w:r w:rsidRPr="001B3CC9">
        <w:rPr>
          <w:rFonts w:ascii="Arial" w:hAnsi="Arial" w:cs="Arial"/>
          <w:color w:val="auto"/>
          <w:sz w:val="26"/>
          <w:szCs w:val="26"/>
        </w:rPr>
        <w:t xml:space="preserve">   </w:t>
      </w:r>
    </w:p>
    <w:p w:rsidR="00337B05" w:rsidRDefault="00337B05" w:rsidP="00007B4B">
      <w:pPr>
        <w:pStyle w:val="Default"/>
        <w:spacing w:after="216"/>
        <w:ind w:left="450"/>
        <w:jc w:val="both"/>
      </w:pPr>
      <w:r w:rsidRPr="00975C77">
        <w:t>The last date for invocation of resolution permitted under this</w:t>
      </w:r>
      <w:r w:rsidR="00DF696E">
        <w:t xml:space="preserve"> framework</w:t>
      </w:r>
      <w:r w:rsidRPr="00975C77">
        <w:t xml:space="preserve"> is September 30, 2021.</w:t>
      </w:r>
      <w:r w:rsidR="00F45C29" w:rsidRPr="00975C77">
        <w:t xml:space="preserve"> The resolution plan should be finalised and implemented within 90 days from the date of invocation of the resolution process under this </w:t>
      </w:r>
      <w:r w:rsidR="00DF696E">
        <w:t>framework</w:t>
      </w:r>
      <w:r w:rsidR="00F45C29" w:rsidRPr="00975C77">
        <w:t>.</w:t>
      </w:r>
    </w:p>
    <w:p w:rsidR="00A57F35" w:rsidRPr="00975C77" w:rsidRDefault="00A57F35" w:rsidP="00007B4B">
      <w:pPr>
        <w:pStyle w:val="Default"/>
        <w:spacing w:after="216"/>
        <w:ind w:left="450"/>
        <w:jc w:val="both"/>
        <w:rPr>
          <w:color w:val="auto"/>
        </w:rPr>
      </w:pPr>
    </w:p>
    <w:p w:rsidR="00AD1804" w:rsidRPr="001B3CC9" w:rsidRDefault="00AD1804" w:rsidP="00E53DFF">
      <w:pPr>
        <w:pStyle w:val="Heading1"/>
        <w:numPr>
          <w:ilvl w:val="0"/>
          <w:numId w:val="12"/>
        </w:numPr>
        <w:spacing w:after="240"/>
        <w:ind w:left="360"/>
        <w:jc w:val="both"/>
        <w:rPr>
          <w:rFonts w:ascii="Arial" w:hAnsi="Arial" w:cs="Arial"/>
          <w:color w:val="auto"/>
          <w:sz w:val="26"/>
          <w:szCs w:val="26"/>
        </w:rPr>
      </w:pPr>
      <w:bookmarkStart w:id="5" w:name="_Toc71887619"/>
      <w:r w:rsidRPr="001B3CC9">
        <w:rPr>
          <w:rFonts w:ascii="Arial" w:hAnsi="Arial" w:cs="Arial"/>
          <w:color w:val="auto"/>
          <w:sz w:val="26"/>
          <w:szCs w:val="26"/>
        </w:rPr>
        <w:lastRenderedPageBreak/>
        <w:t>Guidelines for Implementation of Resolution</w:t>
      </w:r>
      <w:bookmarkEnd w:id="5"/>
      <w:r w:rsidRPr="001B3CC9">
        <w:rPr>
          <w:rFonts w:ascii="Arial" w:hAnsi="Arial" w:cs="Arial"/>
          <w:color w:val="auto"/>
          <w:sz w:val="26"/>
          <w:szCs w:val="26"/>
        </w:rPr>
        <w:t xml:space="preserve"> </w:t>
      </w:r>
    </w:p>
    <w:p w:rsidR="00035445" w:rsidRPr="00A57F35" w:rsidRDefault="00035445" w:rsidP="00AD1804">
      <w:pPr>
        <w:pStyle w:val="Default"/>
        <w:numPr>
          <w:ilvl w:val="0"/>
          <w:numId w:val="5"/>
        </w:numPr>
        <w:spacing w:after="216"/>
        <w:jc w:val="both"/>
        <w:rPr>
          <w:color w:val="auto"/>
        </w:rPr>
      </w:pPr>
      <w:r w:rsidRPr="00A57F35">
        <w:t>The lending institutions shall frame Board approved policies at the earliest (but not later than four weeks from the date of this Circular), pertaining to implementation of viable resolution plans for eligible borrowers under this framework</w:t>
      </w:r>
      <w:r w:rsidR="002B2026" w:rsidRPr="00A57F35">
        <w:t>.</w:t>
      </w:r>
    </w:p>
    <w:p w:rsidR="002B2026" w:rsidRPr="00A57F35" w:rsidRDefault="002B2026" w:rsidP="00AD1804">
      <w:pPr>
        <w:pStyle w:val="Default"/>
        <w:numPr>
          <w:ilvl w:val="0"/>
          <w:numId w:val="5"/>
        </w:numPr>
        <w:spacing w:after="216"/>
        <w:jc w:val="both"/>
        <w:rPr>
          <w:color w:val="auto"/>
        </w:rPr>
      </w:pPr>
      <w:r w:rsidRPr="00A57F35">
        <w:t>In respect of applications received by the lending institutions from their customers for invoking resolution process, the decision on the application shall be communicated in writing to the applicant by the lending institutions within 30 days of receipt of such applications.</w:t>
      </w:r>
    </w:p>
    <w:p w:rsidR="009A4A99" w:rsidRPr="001B3CC9" w:rsidRDefault="009A4A99" w:rsidP="009A4A99">
      <w:pPr>
        <w:pStyle w:val="ListParagraph"/>
        <w:numPr>
          <w:ilvl w:val="0"/>
          <w:numId w:val="9"/>
        </w:numPr>
        <w:autoSpaceDE w:val="0"/>
        <w:autoSpaceDN w:val="0"/>
        <w:adjustRightInd w:val="0"/>
        <w:spacing w:after="0" w:line="240" w:lineRule="auto"/>
        <w:jc w:val="both"/>
        <w:rPr>
          <w:rFonts w:ascii="Arial" w:hAnsi="Arial" w:cs="Arial"/>
          <w:color w:val="000000"/>
          <w:sz w:val="24"/>
          <w:szCs w:val="24"/>
          <w:lang w:val="en-US"/>
        </w:rPr>
      </w:pPr>
      <w:r w:rsidRPr="00A57F35">
        <w:rPr>
          <w:rFonts w:ascii="Arial" w:hAnsi="Arial" w:cs="Arial"/>
          <w:color w:val="000000"/>
          <w:sz w:val="24"/>
          <w:szCs w:val="24"/>
          <w:lang w:val="en-US"/>
        </w:rPr>
        <w:t>The resolution plans implemented</w:t>
      </w:r>
      <w:r w:rsidRPr="001B3CC9">
        <w:rPr>
          <w:rFonts w:ascii="Arial" w:hAnsi="Arial" w:cs="Arial"/>
          <w:color w:val="000000"/>
          <w:sz w:val="24"/>
          <w:szCs w:val="24"/>
          <w:lang w:val="en-US"/>
        </w:rPr>
        <w:t xml:space="preserve"> under this </w:t>
      </w:r>
      <w:r w:rsidR="00447AC0">
        <w:rPr>
          <w:rFonts w:ascii="Arial" w:hAnsi="Arial" w:cs="Arial"/>
          <w:color w:val="000000"/>
          <w:sz w:val="24"/>
          <w:szCs w:val="24"/>
          <w:lang w:val="en-US"/>
        </w:rPr>
        <w:t>framework</w:t>
      </w:r>
      <w:r w:rsidRPr="001B3CC9">
        <w:rPr>
          <w:rFonts w:ascii="Arial" w:hAnsi="Arial" w:cs="Arial"/>
          <w:color w:val="000000"/>
          <w:sz w:val="24"/>
          <w:szCs w:val="24"/>
          <w:lang w:val="en-US"/>
        </w:rPr>
        <w:t xml:space="preserve"> </w:t>
      </w:r>
      <w:r w:rsidRPr="00447AC0">
        <w:rPr>
          <w:rFonts w:ascii="Arial" w:hAnsi="Arial" w:cs="Arial"/>
          <w:color w:val="000000"/>
          <w:sz w:val="24"/>
          <w:szCs w:val="24"/>
          <w:lang w:val="en-US"/>
        </w:rPr>
        <w:t xml:space="preserve">may </w:t>
      </w:r>
      <w:r w:rsidRPr="00447AC0">
        <w:rPr>
          <w:rFonts w:ascii="Arial" w:hAnsi="Arial" w:cs="Arial"/>
          <w:iCs/>
          <w:color w:val="000000"/>
          <w:sz w:val="24"/>
          <w:szCs w:val="24"/>
          <w:lang w:val="en-US"/>
        </w:rPr>
        <w:t xml:space="preserve">inter alia </w:t>
      </w:r>
      <w:r w:rsidRPr="001B3CC9">
        <w:rPr>
          <w:rFonts w:ascii="Arial" w:hAnsi="Arial" w:cs="Arial"/>
          <w:color w:val="000000"/>
          <w:sz w:val="24"/>
          <w:szCs w:val="24"/>
          <w:lang w:val="en-US"/>
        </w:rPr>
        <w:t xml:space="preserve">include rescheduling of payments, conversion of any interest accrued or to be accrued into another credit facility, revisions in working capital sanctions, granting of moratorium etc. based on an assessment of income streams of the borrower. However, compromise settlements are not permitted as a resolution plan for this purpose. </w:t>
      </w:r>
    </w:p>
    <w:p w:rsidR="009A4A99" w:rsidRPr="001B3CC9" w:rsidRDefault="009A4A99" w:rsidP="009A4A99">
      <w:pPr>
        <w:pStyle w:val="Default"/>
        <w:numPr>
          <w:ilvl w:val="0"/>
          <w:numId w:val="5"/>
        </w:numPr>
        <w:spacing w:after="120"/>
        <w:ind w:left="714" w:hanging="357"/>
        <w:jc w:val="both"/>
        <w:rPr>
          <w:color w:val="auto"/>
        </w:rPr>
      </w:pPr>
      <w:r w:rsidRPr="001B3CC9">
        <w:rPr>
          <w:lang w:val="en-US"/>
        </w:rPr>
        <w:t>The moratorium period, if granted, may be for a maximum of two year</w:t>
      </w:r>
      <w:r w:rsidR="00690B5B">
        <w:rPr>
          <w:lang w:val="en-US"/>
        </w:rPr>
        <w:t>s</w:t>
      </w:r>
      <w:r w:rsidRPr="001B3CC9">
        <w:rPr>
          <w:lang w:val="en-US"/>
        </w:rPr>
        <w:t xml:space="preserve"> and shall come into force immediately upon implementation of the resolution plan. The extension of the residual tenor of the loan facilities m</w:t>
      </w:r>
      <w:r w:rsidR="00690B5B">
        <w:rPr>
          <w:lang w:val="en-US"/>
        </w:rPr>
        <w:t>ay also be granted to borrowers</w:t>
      </w:r>
      <w:r w:rsidRPr="001B3CC9">
        <w:rPr>
          <w:lang w:val="en-US"/>
        </w:rPr>
        <w:t xml:space="preserve"> with or without payment moratorium. The overall cap on extension of residual tenor, inclusive of moratorium period if any permitted, shall be two years.</w:t>
      </w:r>
    </w:p>
    <w:p w:rsidR="009A4A99" w:rsidRPr="001B3CC9" w:rsidRDefault="009A4A99" w:rsidP="00AD1804">
      <w:pPr>
        <w:pStyle w:val="Default"/>
        <w:numPr>
          <w:ilvl w:val="0"/>
          <w:numId w:val="5"/>
        </w:numPr>
        <w:spacing w:after="120"/>
        <w:ind w:left="714" w:hanging="357"/>
        <w:jc w:val="both"/>
        <w:rPr>
          <w:color w:val="auto"/>
          <w:sz w:val="28"/>
        </w:rPr>
      </w:pPr>
      <w:r w:rsidRPr="001B3CC9">
        <w:rPr>
          <w:szCs w:val="23"/>
        </w:rPr>
        <w:t>The resolution plan may also provide for conversion of a portion of the debt into equity or other marketable, non-convertible debt securities issued by the borrower, wherever applicable.</w:t>
      </w:r>
    </w:p>
    <w:p w:rsidR="005B6072" w:rsidRPr="00690B5B" w:rsidRDefault="005B6072" w:rsidP="005B6072">
      <w:pPr>
        <w:pStyle w:val="Default"/>
        <w:numPr>
          <w:ilvl w:val="0"/>
          <w:numId w:val="5"/>
        </w:numPr>
        <w:spacing w:after="218"/>
        <w:jc w:val="both"/>
        <w:rPr>
          <w:color w:val="auto"/>
        </w:rPr>
      </w:pPr>
      <w:r w:rsidRPr="00690B5B">
        <w:rPr>
          <w:color w:val="auto"/>
        </w:rPr>
        <w:t>The resolution plan shall be deemed to be implemented only if all of the following conditions are met:</w:t>
      </w:r>
    </w:p>
    <w:p w:rsidR="005B6072" w:rsidRPr="00690B5B" w:rsidRDefault="005B6072" w:rsidP="00E42F99">
      <w:pPr>
        <w:pStyle w:val="Default"/>
        <w:ind w:left="1080" w:hanging="360"/>
        <w:jc w:val="both"/>
        <w:rPr>
          <w:color w:val="auto"/>
        </w:rPr>
      </w:pPr>
      <w:r w:rsidRPr="00690B5B">
        <w:rPr>
          <w:color w:val="auto"/>
        </w:rPr>
        <w:t xml:space="preserve">a. all related documentation, including execution of necessary agreements between lending institutions and borrower and collaterals provided, if any, are completed by the lenders concerned in consonance with the resolution plan being implemented; </w:t>
      </w:r>
    </w:p>
    <w:p w:rsidR="005B6072" w:rsidRPr="00690B5B" w:rsidRDefault="005B6072" w:rsidP="00C11D31">
      <w:pPr>
        <w:pStyle w:val="Default"/>
        <w:ind w:left="1080" w:hanging="360"/>
        <w:jc w:val="both"/>
        <w:rPr>
          <w:color w:val="auto"/>
        </w:rPr>
      </w:pPr>
      <w:r w:rsidRPr="00690B5B">
        <w:rPr>
          <w:color w:val="auto"/>
        </w:rPr>
        <w:t xml:space="preserve">b. </w:t>
      </w:r>
      <w:r w:rsidR="00C11D31">
        <w:rPr>
          <w:color w:val="auto"/>
        </w:rPr>
        <w:t xml:space="preserve"> </w:t>
      </w:r>
      <w:r w:rsidRPr="00690B5B">
        <w:rPr>
          <w:color w:val="auto"/>
        </w:rPr>
        <w:t xml:space="preserve">the changes in the terms of conditions of the </w:t>
      </w:r>
      <w:r w:rsidR="00616938">
        <w:rPr>
          <w:color w:val="auto"/>
        </w:rPr>
        <w:t xml:space="preserve">loans get duly reflected in the </w:t>
      </w:r>
      <w:r w:rsidRPr="00690B5B">
        <w:rPr>
          <w:color w:val="auto"/>
        </w:rPr>
        <w:t xml:space="preserve">books of the lending institutions; and, </w:t>
      </w:r>
    </w:p>
    <w:p w:rsidR="005B6072" w:rsidRPr="001B3CC9" w:rsidRDefault="005B6072" w:rsidP="00616938">
      <w:pPr>
        <w:pStyle w:val="Default"/>
        <w:ind w:left="990" w:hanging="270"/>
        <w:jc w:val="both"/>
        <w:rPr>
          <w:color w:val="auto"/>
        </w:rPr>
      </w:pPr>
      <w:r w:rsidRPr="00690B5B">
        <w:rPr>
          <w:color w:val="auto"/>
        </w:rPr>
        <w:t xml:space="preserve">c. </w:t>
      </w:r>
      <w:r w:rsidR="00C11D31">
        <w:rPr>
          <w:color w:val="auto"/>
        </w:rPr>
        <w:t xml:space="preserve"> </w:t>
      </w:r>
      <w:r w:rsidRPr="00690B5B">
        <w:rPr>
          <w:color w:val="auto"/>
        </w:rPr>
        <w:t>borrower is not in default with the lending institution as per the revised terms.</w:t>
      </w:r>
      <w:r w:rsidRPr="001B3CC9">
        <w:rPr>
          <w:color w:val="auto"/>
        </w:rPr>
        <w:t xml:space="preserve"> </w:t>
      </w:r>
    </w:p>
    <w:p w:rsidR="00AD1804" w:rsidRPr="001B3CC9" w:rsidRDefault="00AD1804" w:rsidP="00AD1804">
      <w:pPr>
        <w:pStyle w:val="ListParagraph"/>
        <w:jc w:val="both"/>
        <w:rPr>
          <w:rFonts w:ascii="Arial" w:hAnsi="Arial" w:cs="Arial"/>
          <w:sz w:val="24"/>
          <w:szCs w:val="24"/>
        </w:rPr>
      </w:pPr>
    </w:p>
    <w:p w:rsidR="00AD1804" w:rsidRPr="001B3CC9" w:rsidRDefault="00AD1804" w:rsidP="009B0E27">
      <w:pPr>
        <w:pStyle w:val="ListParagraph"/>
        <w:keepNext/>
        <w:keepLines/>
        <w:numPr>
          <w:ilvl w:val="0"/>
          <w:numId w:val="12"/>
        </w:numPr>
        <w:spacing w:after="0" w:line="240" w:lineRule="auto"/>
        <w:ind w:left="360"/>
        <w:outlineLvl w:val="0"/>
        <w:rPr>
          <w:rFonts w:ascii="Arial" w:eastAsiaTheme="majorEastAsia" w:hAnsi="Arial" w:cs="Arial"/>
          <w:b/>
          <w:bCs/>
          <w:sz w:val="26"/>
          <w:szCs w:val="26"/>
        </w:rPr>
      </w:pPr>
      <w:bookmarkStart w:id="6" w:name="_Toc71887620"/>
      <w:r w:rsidRPr="001B3CC9">
        <w:rPr>
          <w:rFonts w:ascii="Arial" w:eastAsiaTheme="majorEastAsia" w:hAnsi="Arial" w:cs="Arial"/>
          <w:b/>
          <w:bCs/>
          <w:sz w:val="26"/>
          <w:szCs w:val="26"/>
        </w:rPr>
        <w:t>Asset Classification and provisioning</w:t>
      </w:r>
      <w:bookmarkEnd w:id="6"/>
      <w:r w:rsidRPr="001B3CC9">
        <w:rPr>
          <w:rFonts w:ascii="Arial" w:eastAsiaTheme="majorEastAsia" w:hAnsi="Arial" w:cs="Arial"/>
          <w:b/>
          <w:bCs/>
          <w:sz w:val="26"/>
          <w:szCs w:val="26"/>
        </w:rPr>
        <w:t xml:space="preserve">  </w:t>
      </w:r>
    </w:p>
    <w:p w:rsidR="00AD1804" w:rsidRPr="001B3CC9" w:rsidRDefault="00AD1804" w:rsidP="00AD1804">
      <w:pPr>
        <w:keepNext/>
        <w:keepLines/>
        <w:spacing w:after="0" w:line="240" w:lineRule="auto"/>
        <w:ind w:left="360"/>
        <w:contextualSpacing/>
        <w:outlineLvl w:val="0"/>
        <w:rPr>
          <w:rFonts w:ascii="Arial" w:eastAsiaTheme="majorEastAsia" w:hAnsi="Arial" w:cs="Arial"/>
          <w:b/>
          <w:bCs/>
          <w:sz w:val="26"/>
          <w:szCs w:val="26"/>
        </w:rPr>
      </w:pPr>
    </w:p>
    <w:p w:rsidR="004E0A25" w:rsidRPr="001B3CC9" w:rsidRDefault="004E0A25" w:rsidP="00357B34">
      <w:pPr>
        <w:pStyle w:val="ListParagraph"/>
        <w:widowControl w:val="0"/>
        <w:numPr>
          <w:ilvl w:val="0"/>
          <w:numId w:val="8"/>
        </w:numPr>
        <w:autoSpaceDE w:val="0"/>
        <w:autoSpaceDN w:val="0"/>
        <w:spacing w:after="120" w:line="240" w:lineRule="auto"/>
        <w:ind w:left="714" w:right="90" w:hanging="357"/>
        <w:jc w:val="both"/>
        <w:rPr>
          <w:rFonts w:ascii="Arial" w:hAnsi="Arial" w:cs="Arial"/>
          <w:sz w:val="28"/>
          <w:szCs w:val="24"/>
        </w:rPr>
      </w:pPr>
      <w:r w:rsidRPr="001B3CC9">
        <w:rPr>
          <w:rFonts w:ascii="Arial" w:hAnsi="Arial" w:cs="Arial"/>
          <w:sz w:val="24"/>
          <w:szCs w:val="23"/>
        </w:rPr>
        <w:t>As</w:t>
      </w:r>
      <w:r w:rsidR="00357B34">
        <w:rPr>
          <w:rFonts w:ascii="Arial" w:hAnsi="Arial" w:cs="Arial"/>
          <w:sz w:val="24"/>
          <w:szCs w:val="23"/>
        </w:rPr>
        <w:t>set classification of borrowers</w:t>
      </w:r>
      <w:r w:rsidRPr="001B3CC9">
        <w:rPr>
          <w:rFonts w:ascii="Arial" w:hAnsi="Arial" w:cs="Arial"/>
          <w:sz w:val="24"/>
          <w:szCs w:val="23"/>
        </w:rPr>
        <w:t xml:space="preserve"> accounts classified as Standard may be retained as such upon implementation, whereas the borrowers’ accounts which may have slipped into NPA between invocation and implementation may be upgraded as Standard, as on the date of implementation of the resolution plan.</w:t>
      </w:r>
    </w:p>
    <w:p w:rsidR="00AD1804" w:rsidRPr="001B3CC9" w:rsidRDefault="00AD1804" w:rsidP="00AD1804">
      <w:pPr>
        <w:pStyle w:val="ListParagraph"/>
        <w:widowControl w:val="0"/>
        <w:numPr>
          <w:ilvl w:val="0"/>
          <w:numId w:val="8"/>
        </w:numPr>
        <w:autoSpaceDE w:val="0"/>
        <w:autoSpaceDN w:val="0"/>
        <w:spacing w:before="120" w:after="120" w:line="240" w:lineRule="auto"/>
        <w:ind w:left="714" w:right="90" w:hanging="357"/>
        <w:jc w:val="both"/>
        <w:rPr>
          <w:rFonts w:ascii="Arial" w:hAnsi="Arial" w:cs="Arial"/>
          <w:sz w:val="24"/>
          <w:szCs w:val="24"/>
        </w:rPr>
      </w:pPr>
      <w:r w:rsidRPr="001B3CC9">
        <w:rPr>
          <w:rFonts w:ascii="Arial" w:hAnsi="Arial" w:cs="Arial"/>
          <w:sz w:val="24"/>
          <w:szCs w:val="24"/>
        </w:rPr>
        <w:t xml:space="preserve">Additional finance to borrowers in respect of whom the resolution plan has been invoked, if sanctioned even before implementation of the plan in order to meet the interim liquidity requirements of the borrower, may be classified as ‘standard asset’ till implementation of the plan regardless of the actual performance of the borrower with respect to such facilities in the interim. </w:t>
      </w:r>
    </w:p>
    <w:p w:rsidR="00B208AF" w:rsidRPr="001B3CC9" w:rsidRDefault="00AD1804" w:rsidP="00B208AF">
      <w:pPr>
        <w:pStyle w:val="ListParagraph"/>
        <w:widowControl w:val="0"/>
        <w:numPr>
          <w:ilvl w:val="0"/>
          <w:numId w:val="8"/>
        </w:numPr>
        <w:autoSpaceDE w:val="0"/>
        <w:autoSpaceDN w:val="0"/>
        <w:spacing w:before="120" w:after="120" w:line="240" w:lineRule="auto"/>
        <w:ind w:left="714" w:right="90" w:hanging="357"/>
        <w:jc w:val="both"/>
        <w:rPr>
          <w:rFonts w:ascii="Arial" w:hAnsi="Arial" w:cs="Arial"/>
          <w:sz w:val="24"/>
          <w:szCs w:val="24"/>
        </w:rPr>
      </w:pPr>
      <w:r w:rsidRPr="001B3CC9">
        <w:rPr>
          <w:rFonts w:ascii="Arial" w:hAnsi="Arial" w:cs="Arial"/>
          <w:sz w:val="24"/>
          <w:szCs w:val="24"/>
        </w:rPr>
        <w:lastRenderedPageBreak/>
        <w:t xml:space="preserve">However, if the resolution plan is not implemented within the stipulated timelines, the asset classification of the additional finance sanctioned will be as per the actual performance of the borrower with respect to the additional finance or the rest of the credit facilities, whichever is worse. </w:t>
      </w:r>
    </w:p>
    <w:p w:rsidR="000F5823" w:rsidRPr="001B3CC9" w:rsidRDefault="00B208AF" w:rsidP="000F5823">
      <w:pPr>
        <w:pStyle w:val="ListParagraph"/>
        <w:widowControl w:val="0"/>
        <w:numPr>
          <w:ilvl w:val="0"/>
          <w:numId w:val="8"/>
        </w:numPr>
        <w:autoSpaceDE w:val="0"/>
        <w:autoSpaceDN w:val="0"/>
        <w:spacing w:before="120" w:after="120" w:line="240" w:lineRule="auto"/>
        <w:ind w:left="714" w:right="90" w:hanging="357"/>
        <w:jc w:val="both"/>
        <w:rPr>
          <w:rFonts w:ascii="Arial" w:hAnsi="Arial" w:cs="Arial"/>
          <w:sz w:val="24"/>
          <w:szCs w:val="24"/>
        </w:rPr>
      </w:pPr>
      <w:r w:rsidRPr="001B3CC9">
        <w:rPr>
          <w:rFonts w:ascii="Arial" w:hAnsi="Arial" w:cs="Arial"/>
          <w:color w:val="000000"/>
          <w:sz w:val="24"/>
          <w:szCs w:val="24"/>
          <w:lang w:val="en-US"/>
        </w:rPr>
        <w:t xml:space="preserve">The lending institutions shall keep provisions from the date of implementation, which are higher of the provisions held as per the extant IRAC norms immediately before implementation, or 10 percent of the renegotiated debt exposure of the lending institution post implementation (residual debt). Residual debt, for this purpose, will also include the portion of non-fund based facilities that may have devolved into fund based facilities after the date of implementation. </w:t>
      </w:r>
    </w:p>
    <w:p w:rsidR="000F5823" w:rsidRPr="001B3CC9" w:rsidRDefault="00B208AF" w:rsidP="000F5823">
      <w:pPr>
        <w:pStyle w:val="ListParagraph"/>
        <w:widowControl w:val="0"/>
        <w:numPr>
          <w:ilvl w:val="0"/>
          <w:numId w:val="8"/>
        </w:numPr>
        <w:autoSpaceDE w:val="0"/>
        <w:autoSpaceDN w:val="0"/>
        <w:spacing w:before="120" w:after="120" w:line="240" w:lineRule="auto"/>
        <w:ind w:left="714" w:right="90" w:hanging="357"/>
        <w:jc w:val="both"/>
        <w:rPr>
          <w:rFonts w:ascii="Arial" w:hAnsi="Arial" w:cs="Arial"/>
          <w:sz w:val="24"/>
          <w:szCs w:val="24"/>
        </w:rPr>
      </w:pPr>
      <w:r w:rsidRPr="001B3CC9">
        <w:rPr>
          <w:rFonts w:ascii="Arial" w:hAnsi="Arial" w:cs="Arial"/>
          <w:color w:val="000000"/>
          <w:sz w:val="24"/>
          <w:szCs w:val="24"/>
          <w:lang w:val="en-US"/>
        </w:rPr>
        <w:t>Half of the above provisions may be written back upon the borrower paying at least 20 per cent of the residual debt without slipping into NPA post implementation of the plan, and the remaining half may be written back upon the borrower paying another 10 per cent of the residual debt without slipping into NPA subsequently.</w:t>
      </w:r>
      <w:r w:rsidR="000F5823" w:rsidRPr="001B3CC9">
        <w:rPr>
          <w:rFonts w:ascii="Arial" w:hAnsi="Arial" w:cs="Arial"/>
          <w:color w:val="000000"/>
          <w:sz w:val="24"/>
          <w:szCs w:val="24"/>
          <w:lang w:val="en-US"/>
        </w:rPr>
        <w:t xml:space="preserve"> I</w:t>
      </w:r>
      <w:r w:rsidR="000F5823" w:rsidRPr="001B3CC9">
        <w:rPr>
          <w:rFonts w:ascii="Arial" w:hAnsi="Arial" w:cs="Arial"/>
          <w:sz w:val="24"/>
          <w:szCs w:val="24"/>
          <w:lang w:val="en-US"/>
        </w:rPr>
        <w:t xml:space="preserve">n respect of exposures other than personal loans, the provisions shall not be written back before one year from the commencement of the first payment of interest or principal (whichever is later) on the credit facility with longest period of moratorium. </w:t>
      </w:r>
    </w:p>
    <w:p w:rsidR="00B208AF" w:rsidRPr="00CA11DB" w:rsidRDefault="000F5823" w:rsidP="000F5823">
      <w:pPr>
        <w:pStyle w:val="ListParagraph"/>
        <w:widowControl w:val="0"/>
        <w:numPr>
          <w:ilvl w:val="0"/>
          <w:numId w:val="8"/>
        </w:numPr>
        <w:autoSpaceDE w:val="0"/>
        <w:autoSpaceDN w:val="0"/>
        <w:spacing w:before="120" w:after="120" w:line="240" w:lineRule="auto"/>
        <w:ind w:left="714" w:right="90" w:hanging="357"/>
        <w:jc w:val="both"/>
        <w:rPr>
          <w:rFonts w:ascii="Arial" w:hAnsi="Arial" w:cs="Arial"/>
          <w:sz w:val="24"/>
          <w:szCs w:val="24"/>
        </w:rPr>
      </w:pPr>
      <w:r w:rsidRPr="001B3CC9">
        <w:rPr>
          <w:rFonts w:ascii="Arial" w:hAnsi="Arial" w:cs="Arial"/>
          <w:color w:val="000000"/>
          <w:sz w:val="24"/>
          <w:szCs w:val="24"/>
          <w:lang w:val="en-US"/>
        </w:rPr>
        <w:t xml:space="preserve">The provisions required to be maintained under this </w:t>
      </w:r>
      <w:r w:rsidR="00D9269F">
        <w:rPr>
          <w:rFonts w:ascii="Arial" w:hAnsi="Arial" w:cs="Arial"/>
          <w:color w:val="000000"/>
          <w:sz w:val="24"/>
          <w:szCs w:val="24"/>
          <w:lang w:val="en-US"/>
        </w:rPr>
        <w:t>framework</w:t>
      </w:r>
      <w:r w:rsidRPr="001B3CC9">
        <w:rPr>
          <w:rFonts w:ascii="Arial" w:hAnsi="Arial" w:cs="Arial"/>
          <w:color w:val="000000"/>
          <w:sz w:val="24"/>
          <w:szCs w:val="24"/>
          <w:lang w:val="en-US"/>
        </w:rPr>
        <w:t>, to the extent not already reversed, shall be available for the provisioning requirements when any of the accounts, where a resolution plan had been implemented, is subsequently classified as NPA.</w:t>
      </w:r>
    </w:p>
    <w:p w:rsidR="00CA11DB" w:rsidRPr="00CA11DB" w:rsidRDefault="00CA11DB" w:rsidP="00CA11DB">
      <w:pPr>
        <w:pStyle w:val="ListParagraph"/>
        <w:widowControl w:val="0"/>
        <w:autoSpaceDE w:val="0"/>
        <w:autoSpaceDN w:val="0"/>
        <w:spacing w:before="120" w:after="120" w:line="240" w:lineRule="auto"/>
        <w:ind w:left="714" w:right="90"/>
        <w:jc w:val="both"/>
        <w:rPr>
          <w:rFonts w:ascii="Arial" w:hAnsi="Arial" w:cs="Arial"/>
          <w:sz w:val="24"/>
          <w:szCs w:val="24"/>
        </w:rPr>
      </w:pPr>
    </w:p>
    <w:p w:rsidR="008028EC" w:rsidRPr="008028EC" w:rsidRDefault="00CA11DB" w:rsidP="007B5E80">
      <w:pPr>
        <w:pStyle w:val="ListParagraph"/>
        <w:widowControl w:val="0"/>
        <w:numPr>
          <w:ilvl w:val="0"/>
          <w:numId w:val="12"/>
        </w:numPr>
        <w:autoSpaceDE w:val="0"/>
        <w:autoSpaceDN w:val="0"/>
        <w:spacing w:before="120" w:after="120" w:line="240" w:lineRule="auto"/>
        <w:ind w:left="360" w:right="90"/>
        <w:jc w:val="both"/>
        <w:rPr>
          <w:rFonts w:ascii="Arial" w:hAnsi="Arial" w:cs="Arial"/>
          <w:b/>
          <w:sz w:val="24"/>
          <w:szCs w:val="24"/>
        </w:rPr>
      </w:pPr>
      <w:r w:rsidRPr="00CA11DB">
        <w:rPr>
          <w:rFonts w:ascii="Arial" w:hAnsi="Arial" w:cs="Arial"/>
          <w:b/>
          <w:bCs/>
          <w:sz w:val="24"/>
          <w:szCs w:val="24"/>
        </w:rPr>
        <w:t>Convergence of the norms for loans resolved previously</w:t>
      </w:r>
    </w:p>
    <w:p w:rsidR="008028EC" w:rsidRPr="008028EC" w:rsidRDefault="008028EC" w:rsidP="008028EC">
      <w:pPr>
        <w:pStyle w:val="ListParagraph"/>
        <w:widowControl w:val="0"/>
        <w:autoSpaceDE w:val="0"/>
        <w:autoSpaceDN w:val="0"/>
        <w:spacing w:before="120" w:after="120" w:line="240" w:lineRule="auto"/>
        <w:ind w:left="450" w:right="90"/>
        <w:jc w:val="both"/>
        <w:rPr>
          <w:rFonts w:ascii="Arial" w:hAnsi="Arial" w:cs="Arial"/>
          <w:b/>
          <w:sz w:val="24"/>
          <w:szCs w:val="24"/>
        </w:rPr>
      </w:pPr>
    </w:p>
    <w:p w:rsidR="008028EC" w:rsidRPr="00C57684" w:rsidRDefault="008028EC" w:rsidP="008028EC">
      <w:pPr>
        <w:pStyle w:val="ListParagraph"/>
        <w:widowControl w:val="0"/>
        <w:numPr>
          <w:ilvl w:val="0"/>
          <w:numId w:val="9"/>
        </w:numPr>
        <w:autoSpaceDE w:val="0"/>
        <w:autoSpaceDN w:val="0"/>
        <w:spacing w:before="120" w:after="120" w:line="240" w:lineRule="auto"/>
        <w:ind w:right="90"/>
        <w:jc w:val="both"/>
        <w:rPr>
          <w:rFonts w:ascii="Arial" w:hAnsi="Arial" w:cs="Arial"/>
          <w:sz w:val="28"/>
          <w:szCs w:val="24"/>
        </w:rPr>
      </w:pPr>
      <w:r w:rsidRPr="00C57684">
        <w:rPr>
          <w:rFonts w:ascii="Arial" w:hAnsi="Arial" w:cs="Arial"/>
          <w:sz w:val="24"/>
          <w:szCs w:val="23"/>
        </w:rPr>
        <w:t xml:space="preserve">In cases of loans of borrowers specified in Clause </w:t>
      </w:r>
      <w:r w:rsidR="009712DF" w:rsidRPr="00C57684">
        <w:rPr>
          <w:rFonts w:ascii="Arial" w:hAnsi="Arial" w:cs="Arial"/>
          <w:sz w:val="24"/>
          <w:szCs w:val="23"/>
        </w:rPr>
        <w:t xml:space="preserve">1 of </w:t>
      </w:r>
      <w:r w:rsidR="00B9668F">
        <w:rPr>
          <w:rFonts w:ascii="Arial" w:hAnsi="Arial" w:cs="Arial"/>
          <w:sz w:val="24"/>
          <w:szCs w:val="23"/>
        </w:rPr>
        <w:t xml:space="preserve">Part </w:t>
      </w:r>
      <w:r w:rsidR="009712DF" w:rsidRPr="00C57684">
        <w:rPr>
          <w:rFonts w:ascii="Arial" w:hAnsi="Arial" w:cs="Arial"/>
          <w:sz w:val="24"/>
          <w:szCs w:val="23"/>
        </w:rPr>
        <w:t>A</w:t>
      </w:r>
      <w:r w:rsidRPr="00C57684">
        <w:rPr>
          <w:rFonts w:ascii="Arial" w:hAnsi="Arial" w:cs="Arial"/>
          <w:sz w:val="24"/>
          <w:szCs w:val="23"/>
        </w:rPr>
        <w:t xml:space="preserve"> above where resolution plans had been implemented in terms of the Resolution Framework – 1.0, and where the resolution plans had permitted no moratoria or moratoria of less than two years and / or extension of residual tenor by a period of less than two years, lending institutions are permitted to use this </w:t>
      </w:r>
      <w:r w:rsidR="00212F48">
        <w:rPr>
          <w:rFonts w:ascii="Arial" w:hAnsi="Arial" w:cs="Arial"/>
          <w:sz w:val="24"/>
          <w:szCs w:val="23"/>
        </w:rPr>
        <w:t>framework</w:t>
      </w:r>
      <w:r w:rsidRPr="00C57684">
        <w:rPr>
          <w:rFonts w:ascii="Arial" w:hAnsi="Arial" w:cs="Arial"/>
          <w:sz w:val="24"/>
          <w:szCs w:val="23"/>
        </w:rPr>
        <w:t xml:space="preserve"> to modify such plans </w:t>
      </w:r>
      <w:r w:rsidRPr="00C57684">
        <w:rPr>
          <w:rFonts w:ascii="Arial" w:hAnsi="Arial" w:cs="Arial"/>
          <w:bCs/>
          <w:sz w:val="24"/>
          <w:szCs w:val="23"/>
        </w:rPr>
        <w:t xml:space="preserve">only </w:t>
      </w:r>
      <w:r w:rsidRPr="00C57684">
        <w:rPr>
          <w:rFonts w:ascii="Arial" w:hAnsi="Arial" w:cs="Arial"/>
          <w:sz w:val="24"/>
          <w:szCs w:val="23"/>
        </w:rPr>
        <w:t xml:space="preserve">to the extent of increasing the period of moratorium / extension of residual tenor subject to the caps </w:t>
      </w:r>
      <w:r w:rsidR="000007A5">
        <w:rPr>
          <w:rFonts w:ascii="Arial" w:hAnsi="Arial" w:cs="Arial"/>
          <w:sz w:val="24"/>
          <w:szCs w:val="23"/>
        </w:rPr>
        <w:t xml:space="preserve">in clause </w:t>
      </w:r>
      <w:r w:rsidR="003E79F8">
        <w:rPr>
          <w:rFonts w:ascii="Arial" w:hAnsi="Arial" w:cs="Arial"/>
          <w:sz w:val="24"/>
          <w:szCs w:val="23"/>
        </w:rPr>
        <w:t>3</w:t>
      </w:r>
      <w:r w:rsidR="000007A5">
        <w:rPr>
          <w:rFonts w:ascii="Arial" w:hAnsi="Arial" w:cs="Arial"/>
          <w:sz w:val="24"/>
          <w:szCs w:val="23"/>
        </w:rPr>
        <w:t xml:space="preserve"> of Part A</w:t>
      </w:r>
      <w:r w:rsidRPr="00C57684">
        <w:rPr>
          <w:rFonts w:ascii="Arial" w:hAnsi="Arial" w:cs="Arial"/>
          <w:sz w:val="24"/>
          <w:szCs w:val="23"/>
        </w:rPr>
        <w:t xml:space="preserve"> above, and the consequent changes necessary in the terms of the loan for implementing such extension.</w:t>
      </w:r>
    </w:p>
    <w:p w:rsidR="008028EC" w:rsidRPr="00560725" w:rsidRDefault="008028EC" w:rsidP="008028EC">
      <w:pPr>
        <w:pStyle w:val="ListParagraph"/>
        <w:widowControl w:val="0"/>
        <w:numPr>
          <w:ilvl w:val="0"/>
          <w:numId w:val="9"/>
        </w:numPr>
        <w:autoSpaceDE w:val="0"/>
        <w:autoSpaceDN w:val="0"/>
        <w:spacing w:before="120" w:after="120" w:line="240" w:lineRule="auto"/>
        <w:ind w:right="90"/>
        <w:jc w:val="both"/>
        <w:rPr>
          <w:rFonts w:ascii="Arial" w:hAnsi="Arial" w:cs="Arial"/>
          <w:sz w:val="28"/>
          <w:szCs w:val="24"/>
        </w:rPr>
      </w:pPr>
      <w:r w:rsidRPr="00C57684">
        <w:rPr>
          <w:rFonts w:ascii="Arial" w:hAnsi="Arial" w:cs="Arial"/>
          <w:sz w:val="24"/>
          <w:szCs w:val="23"/>
        </w:rPr>
        <w:t xml:space="preserve">This modification shall also follow the timelines specified in </w:t>
      </w:r>
      <w:r w:rsidR="00AA7FAA" w:rsidRPr="00C57684">
        <w:rPr>
          <w:rFonts w:ascii="Arial" w:hAnsi="Arial" w:cs="Arial"/>
          <w:sz w:val="24"/>
          <w:szCs w:val="23"/>
        </w:rPr>
        <w:t xml:space="preserve">part A </w:t>
      </w:r>
      <w:r w:rsidRPr="00C57684">
        <w:rPr>
          <w:rFonts w:ascii="Arial" w:hAnsi="Arial" w:cs="Arial"/>
          <w:sz w:val="24"/>
          <w:szCs w:val="23"/>
        </w:rPr>
        <w:t>above. For loans where modifications are implemented in line with above</w:t>
      </w:r>
      <w:r w:rsidR="00200EBA" w:rsidRPr="00C57684">
        <w:rPr>
          <w:rFonts w:ascii="Arial" w:hAnsi="Arial" w:cs="Arial"/>
          <w:sz w:val="24"/>
          <w:szCs w:val="23"/>
        </w:rPr>
        <w:t xml:space="preserve"> clause</w:t>
      </w:r>
      <w:r w:rsidRPr="00C57684">
        <w:rPr>
          <w:rFonts w:ascii="Arial" w:hAnsi="Arial" w:cs="Arial"/>
          <w:sz w:val="24"/>
          <w:szCs w:val="23"/>
        </w:rPr>
        <w:t>, the instructions regarding asset classification and provisioning shall continue to be as per the Resolution Framework – 1.0.</w:t>
      </w:r>
    </w:p>
    <w:p w:rsidR="00560725" w:rsidRDefault="00560725" w:rsidP="00560725">
      <w:pPr>
        <w:widowControl w:val="0"/>
        <w:autoSpaceDE w:val="0"/>
        <w:autoSpaceDN w:val="0"/>
        <w:spacing w:before="120" w:after="120" w:line="240" w:lineRule="auto"/>
        <w:ind w:right="90"/>
        <w:jc w:val="both"/>
        <w:rPr>
          <w:rFonts w:ascii="Arial" w:hAnsi="Arial" w:cs="Arial"/>
          <w:sz w:val="28"/>
          <w:szCs w:val="24"/>
        </w:rPr>
      </w:pPr>
    </w:p>
    <w:p w:rsidR="00560725" w:rsidRDefault="00560725" w:rsidP="00560725">
      <w:pPr>
        <w:widowControl w:val="0"/>
        <w:autoSpaceDE w:val="0"/>
        <w:autoSpaceDN w:val="0"/>
        <w:spacing w:before="120" w:after="120" w:line="240" w:lineRule="auto"/>
        <w:ind w:right="90"/>
        <w:jc w:val="both"/>
        <w:rPr>
          <w:rFonts w:ascii="Arial" w:hAnsi="Arial" w:cs="Arial"/>
          <w:sz w:val="28"/>
          <w:szCs w:val="24"/>
        </w:rPr>
      </w:pPr>
    </w:p>
    <w:p w:rsidR="00560725" w:rsidRDefault="00560725" w:rsidP="00560725">
      <w:pPr>
        <w:widowControl w:val="0"/>
        <w:autoSpaceDE w:val="0"/>
        <w:autoSpaceDN w:val="0"/>
        <w:spacing w:before="120" w:after="120" w:line="240" w:lineRule="auto"/>
        <w:ind w:right="90"/>
        <w:jc w:val="both"/>
        <w:rPr>
          <w:rFonts w:ascii="Arial" w:hAnsi="Arial" w:cs="Arial"/>
          <w:sz w:val="28"/>
          <w:szCs w:val="24"/>
        </w:rPr>
      </w:pPr>
    </w:p>
    <w:p w:rsidR="00560725" w:rsidRDefault="00560725" w:rsidP="00560725">
      <w:pPr>
        <w:widowControl w:val="0"/>
        <w:autoSpaceDE w:val="0"/>
        <w:autoSpaceDN w:val="0"/>
        <w:spacing w:before="120" w:after="120" w:line="240" w:lineRule="auto"/>
        <w:ind w:right="90"/>
        <w:jc w:val="both"/>
        <w:rPr>
          <w:rFonts w:ascii="Arial" w:hAnsi="Arial" w:cs="Arial"/>
          <w:sz w:val="28"/>
          <w:szCs w:val="24"/>
        </w:rPr>
      </w:pPr>
    </w:p>
    <w:p w:rsidR="00560725" w:rsidRDefault="00560725" w:rsidP="00560725">
      <w:pPr>
        <w:widowControl w:val="0"/>
        <w:autoSpaceDE w:val="0"/>
        <w:autoSpaceDN w:val="0"/>
        <w:spacing w:before="120" w:after="120" w:line="240" w:lineRule="auto"/>
        <w:ind w:right="90"/>
        <w:jc w:val="both"/>
        <w:rPr>
          <w:rFonts w:ascii="Arial" w:hAnsi="Arial" w:cs="Arial"/>
          <w:sz w:val="28"/>
          <w:szCs w:val="24"/>
        </w:rPr>
      </w:pPr>
    </w:p>
    <w:p w:rsidR="00560725" w:rsidRPr="00560725" w:rsidRDefault="00560725" w:rsidP="00560725">
      <w:pPr>
        <w:widowControl w:val="0"/>
        <w:autoSpaceDE w:val="0"/>
        <w:autoSpaceDN w:val="0"/>
        <w:spacing w:before="120" w:after="120" w:line="240" w:lineRule="auto"/>
        <w:ind w:right="90"/>
        <w:jc w:val="both"/>
        <w:rPr>
          <w:rFonts w:ascii="Arial" w:hAnsi="Arial" w:cs="Arial"/>
          <w:sz w:val="28"/>
          <w:szCs w:val="24"/>
        </w:rPr>
      </w:pPr>
    </w:p>
    <w:p w:rsidR="00A0666E" w:rsidRPr="001B3CC9" w:rsidRDefault="00A0666E" w:rsidP="00A0666E">
      <w:pPr>
        <w:widowControl w:val="0"/>
        <w:autoSpaceDE w:val="0"/>
        <w:autoSpaceDN w:val="0"/>
        <w:spacing w:before="120" w:after="120" w:line="240" w:lineRule="auto"/>
        <w:ind w:right="90"/>
        <w:jc w:val="both"/>
        <w:rPr>
          <w:rFonts w:ascii="Arial" w:hAnsi="Arial" w:cs="Arial"/>
          <w:sz w:val="24"/>
          <w:szCs w:val="24"/>
        </w:rPr>
      </w:pPr>
    </w:p>
    <w:p w:rsidR="004838D7" w:rsidRPr="004838D7" w:rsidRDefault="004838D7" w:rsidP="004838D7">
      <w:pPr>
        <w:pStyle w:val="Default"/>
        <w:jc w:val="center"/>
        <w:rPr>
          <w:sz w:val="26"/>
          <w:szCs w:val="26"/>
          <w:u w:val="single"/>
          <w:lang w:val="en-US"/>
        </w:rPr>
      </w:pPr>
      <w:r w:rsidRPr="001B3CC9">
        <w:rPr>
          <w:b/>
          <w:bCs/>
          <w:sz w:val="26"/>
          <w:szCs w:val="26"/>
          <w:u w:val="single"/>
        </w:rPr>
        <w:lastRenderedPageBreak/>
        <w:t xml:space="preserve">B. </w:t>
      </w:r>
      <w:r w:rsidRPr="004838D7">
        <w:rPr>
          <w:b/>
          <w:bCs/>
          <w:sz w:val="26"/>
          <w:szCs w:val="26"/>
          <w:u w:val="single"/>
          <w:lang w:val="en-US"/>
        </w:rPr>
        <w:t>Working capital support for small businesses where resolution plans were implemented previously</w:t>
      </w:r>
    </w:p>
    <w:p w:rsidR="00A0666E" w:rsidRPr="001B3CC9" w:rsidRDefault="00A0666E" w:rsidP="00916038">
      <w:pPr>
        <w:widowControl w:val="0"/>
        <w:autoSpaceDE w:val="0"/>
        <w:autoSpaceDN w:val="0"/>
        <w:spacing w:before="120" w:after="120" w:line="240" w:lineRule="auto"/>
        <w:ind w:right="90"/>
        <w:rPr>
          <w:rFonts w:ascii="Arial" w:hAnsi="Arial" w:cs="Arial"/>
          <w:sz w:val="26"/>
          <w:szCs w:val="26"/>
        </w:rPr>
      </w:pPr>
    </w:p>
    <w:p w:rsidR="002D5EA0" w:rsidRPr="001B3CC9" w:rsidRDefault="002D5EA0" w:rsidP="00482E65">
      <w:pPr>
        <w:pStyle w:val="Default"/>
        <w:numPr>
          <w:ilvl w:val="0"/>
          <w:numId w:val="9"/>
        </w:numPr>
        <w:jc w:val="both"/>
        <w:rPr>
          <w:color w:val="auto"/>
        </w:rPr>
      </w:pPr>
      <w:r w:rsidRPr="001B3CC9">
        <w:rPr>
          <w:color w:val="auto"/>
        </w:rPr>
        <w:t>The following categories of borrowers shall be eligible for resolution plan where resolution plans had been implemented under Resolution Framework</w:t>
      </w:r>
      <w:r w:rsidR="00E76256" w:rsidRPr="001B3CC9">
        <w:rPr>
          <w:color w:val="auto"/>
        </w:rPr>
        <w:t xml:space="preserve"> </w:t>
      </w:r>
      <w:r w:rsidRPr="001B3CC9">
        <w:rPr>
          <w:color w:val="auto"/>
        </w:rPr>
        <w:t>-</w:t>
      </w:r>
      <w:r w:rsidR="00E76256" w:rsidRPr="001B3CC9">
        <w:rPr>
          <w:color w:val="auto"/>
        </w:rPr>
        <w:t xml:space="preserve"> </w:t>
      </w:r>
      <w:r w:rsidRPr="001B3CC9">
        <w:rPr>
          <w:color w:val="auto"/>
        </w:rPr>
        <w:t xml:space="preserve">1.0 :- </w:t>
      </w:r>
    </w:p>
    <w:p w:rsidR="002D5EA0" w:rsidRPr="001B3CC9" w:rsidRDefault="002D5EA0" w:rsidP="002D5EA0">
      <w:pPr>
        <w:pStyle w:val="Default"/>
        <w:ind w:left="720"/>
        <w:rPr>
          <w:color w:val="auto"/>
        </w:rPr>
      </w:pPr>
    </w:p>
    <w:p w:rsidR="002D5EA0" w:rsidRPr="001B3CC9" w:rsidRDefault="002D5EA0" w:rsidP="00421AD5">
      <w:pPr>
        <w:pStyle w:val="ListParagraph"/>
        <w:numPr>
          <w:ilvl w:val="0"/>
          <w:numId w:val="4"/>
        </w:numPr>
        <w:autoSpaceDE w:val="0"/>
        <w:autoSpaceDN w:val="0"/>
        <w:adjustRightInd w:val="0"/>
        <w:spacing w:after="0" w:line="240" w:lineRule="auto"/>
        <w:ind w:left="1170"/>
        <w:jc w:val="both"/>
        <w:rPr>
          <w:rFonts w:ascii="Arial" w:hAnsi="Arial" w:cs="Arial"/>
          <w:color w:val="000000"/>
          <w:sz w:val="24"/>
          <w:szCs w:val="24"/>
          <w:lang w:val="en-US"/>
        </w:rPr>
      </w:pPr>
      <w:r w:rsidRPr="001B3CC9">
        <w:rPr>
          <w:rFonts w:ascii="Arial" w:hAnsi="Arial" w:cs="Arial"/>
          <w:color w:val="000000"/>
          <w:sz w:val="24"/>
          <w:szCs w:val="24"/>
          <w:lang w:val="en-US"/>
        </w:rPr>
        <w:t xml:space="preserve">Individuals who have availed of loans and advances for business purposes and to whom the lending institutions have aggregate exposure of not more than Rs.25 cr as on March 31, 2021. </w:t>
      </w:r>
    </w:p>
    <w:p w:rsidR="002D5EA0" w:rsidRPr="001B3CC9" w:rsidRDefault="002D5EA0" w:rsidP="00421AD5">
      <w:pPr>
        <w:pStyle w:val="ListParagraph"/>
        <w:numPr>
          <w:ilvl w:val="0"/>
          <w:numId w:val="4"/>
        </w:numPr>
        <w:autoSpaceDE w:val="0"/>
        <w:autoSpaceDN w:val="0"/>
        <w:adjustRightInd w:val="0"/>
        <w:spacing w:after="0" w:line="240" w:lineRule="auto"/>
        <w:ind w:left="1170"/>
        <w:jc w:val="both"/>
        <w:rPr>
          <w:rFonts w:ascii="Arial" w:hAnsi="Arial" w:cs="Arial"/>
          <w:color w:val="000000"/>
          <w:sz w:val="24"/>
          <w:szCs w:val="24"/>
          <w:lang w:val="en-US"/>
        </w:rPr>
      </w:pPr>
      <w:r w:rsidRPr="001B3CC9">
        <w:rPr>
          <w:rFonts w:ascii="Arial" w:hAnsi="Arial" w:cs="Arial"/>
          <w:color w:val="000000"/>
          <w:sz w:val="24"/>
          <w:szCs w:val="24"/>
          <w:lang w:val="en-US"/>
        </w:rPr>
        <w:t xml:space="preserve">Small businesses, including those engaged in retail and wholesale trade, other than those classified as micro, small and medium enterprises as on March 31, 2021, and to whom the lending institutions have aggregate exposure of not more than Rs.25 cr as on March 31, 2021. </w:t>
      </w:r>
    </w:p>
    <w:p w:rsidR="00F77CA9" w:rsidRPr="001B3CC9" w:rsidRDefault="00F77CA9" w:rsidP="00F77CA9">
      <w:pPr>
        <w:pStyle w:val="ListParagraph"/>
        <w:widowControl w:val="0"/>
        <w:autoSpaceDE w:val="0"/>
        <w:autoSpaceDN w:val="0"/>
        <w:spacing w:before="120" w:after="120" w:line="240" w:lineRule="auto"/>
        <w:ind w:right="90"/>
        <w:jc w:val="both"/>
        <w:rPr>
          <w:rFonts w:ascii="Arial" w:hAnsi="Arial" w:cs="Arial"/>
          <w:sz w:val="24"/>
          <w:szCs w:val="24"/>
        </w:rPr>
      </w:pPr>
    </w:p>
    <w:p w:rsidR="0096106D" w:rsidRPr="001B3CC9" w:rsidRDefault="005806F3" w:rsidP="00026905">
      <w:pPr>
        <w:pStyle w:val="ListParagraph"/>
        <w:widowControl w:val="0"/>
        <w:numPr>
          <w:ilvl w:val="0"/>
          <w:numId w:val="9"/>
        </w:numPr>
        <w:autoSpaceDE w:val="0"/>
        <w:autoSpaceDN w:val="0"/>
        <w:spacing w:before="120" w:after="120" w:line="240" w:lineRule="auto"/>
        <w:ind w:right="90"/>
        <w:jc w:val="both"/>
        <w:rPr>
          <w:rFonts w:ascii="Arial" w:hAnsi="Arial" w:cs="Arial"/>
          <w:sz w:val="24"/>
          <w:szCs w:val="24"/>
        </w:rPr>
      </w:pPr>
      <w:r w:rsidRPr="001B3CC9">
        <w:rPr>
          <w:rFonts w:ascii="Arial" w:hAnsi="Arial" w:cs="Arial"/>
          <w:sz w:val="24"/>
          <w:szCs w:val="24"/>
        </w:rPr>
        <w:t xml:space="preserve">Lending institutions are permitted, as a one-time measure, to review the working capital sanctioned limits and / or drawing power based on a reassessment of the working capital cycle, reduction of margins, etc. without the same being treated as restructuring. </w:t>
      </w:r>
    </w:p>
    <w:p w:rsidR="00014122" w:rsidRDefault="005806F3" w:rsidP="00014122">
      <w:pPr>
        <w:pStyle w:val="ListParagraph"/>
        <w:widowControl w:val="0"/>
        <w:numPr>
          <w:ilvl w:val="0"/>
          <w:numId w:val="9"/>
        </w:numPr>
        <w:autoSpaceDE w:val="0"/>
        <w:autoSpaceDN w:val="0"/>
        <w:spacing w:before="120" w:after="120" w:line="240" w:lineRule="auto"/>
        <w:ind w:right="90"/>
        <w:jc w:val="both"/>
        <w:rPr>
          <w:rFonts w:ascii="Arial" w:hAnsi="Arial" w:cs="Arial"/>
          <w:sz w:val="24"/>
          <w:szCs w:val="24"/>
        </w:rPr>
      </w:pPr>
      <w:r w:rsidRPr="001B3CC9">
        <w:rPr>
          <w:rFonts w:ascii="Arial" w:hAnsi="Arial" w:cs="Arial"/>
          <w:sz w:val="24"/>
          <w:szCs w:val="24"/>
        </w:rPr>
        <w:t>The decision with regard to above shall be taken by lending institutions by September 30, 2021, with the margins and working capital limits being restored to the levels as per the resolution plan implemented under Resolution Framework – 1.0, by March 31, 2022.</w:t>
      </w:r>
    </w:p>
    <w:p w:rsidR="00014122" w:rsidRPr="00014122" w:rsidRDefault="00AF7EA8" w:rsidP="00014122">
      <w:pPr>
        <w:pStyle w:val="ListParagraph"/>
        <w:widowControl w:val="0"/>
        <w:numPr>
          <w:ilvl w:val="0"/>
          <w:numId w:val="9"/>
        </w:numPr>
        <w:autoSpaceDE w:val="0"/>
        <w:autoSpaceDN w:val="0"/>
        <w:spacing w:before="120" w:after="120" w:line="240" w:lineRule="auto"/>
        <w:ind w:right="90"/>
        <w:jc w:val="both"/>
        <w:rPr>
          <w:rFonts w:ascii="Arial" w:hAnsi="Arial" w:cs="Arial"/>
          <w:sz w:val="24"/>
          <w:szCs w:val="24"/>
        </w:rPr>
      </w:pPr>
      <w:r w:rsidRPr="00014122">
        <w:rPr>
          <w:rFonts w:ascii="Arial" w:hAnsi="Arial" w:cs="Arial"/>
          <w:sz w:val="24"/>
          <w:szCs w:val="23"/>
        </w:rPr>
        <w:t>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rsidR="0096106D" w:rsidRPr="00014122" w:rsidRDefault="004B5BD0" w:rsidP="00014122">
      <w:pPr>
        <w:pStyle w:val="ListParagraph"/>
        <w:widowControl w:val="0"/>
        <w:numPr>
          <w:ilvl w:val="0"/>
          <w:numId w:val="9"/>
        </w:numPr>
        <w:autoSpaceDE w:val="0"/>
        <w:autoSpaceDN w:val="0"/>
        <w:spacing w:before="120" w:after="120" w:line="240" w:lineRule="auto"/>
        <w:ind w:right="90"/>
        <w:jc w:val="both"/>
        <w:rPr>
          <w:rFonts w:ascii="Arial" w:hAnsi="Arial" w:cs="Arial"/>
          <w:sz w:val="24"/>
          <w:szCs w:val="24"/>
        </w:rPr>
      </w:pPr>
      <w:r w:rsidRPr="00014122">
        <w:rPr>
          <w:rFonts w:ascii="Arial" w:hAnsi="Arial" w:cs="Arial"/>
          <w:sz w:val="24"/>
          <w:szCs w:val="23"/>
        </w:rPr>
        <w:t>Lending institutions may, accordingly, put in place a Board approved policy to implement the above measures, which should be disclosed in the public domain and placed on their websites in a prominent and easily accessible manner.</w:t>
      </w:r>
    </w:p>
    <w:p w:rsidR="00AD1804" w:rsidRDefault="00AD1804" w:rsidP="00AD1804">
      <w:pPr>
        <w:autoSpaceDE w:val="0"/>
        <w:autoSpaceDN w:val="0"/>
        <w:adjustRightInd w:val="0"/>
        <w:spacing w:after="0" w:line="240" w:lineRule="auto"/>
        <w:ind w:left="720" w:right="60"/>
        <w:jc w:val="both"/>
        <w:rPr>
          <w:rFonts w:cstheme="minorHAnsi"/>
          <w:sz w:val="24"/>
          <w:szCs w:val="24"/>
        </w:rPr>
      </w:pPr>
    </w:p>
    <w:p w:rsidR="00E33948" w:rsidRDefault="00E33948" w:rsidP="00AD1804">
      <w:pPr>
        <w:autoSpaceDE w:val="0"/>
        <w:autoSpaceDN w:val="0"/>
        <w:adjustRightInd w:val="0"/>
        <w:spacing w:after="0" w:line="240" w:lineRule="auto"/>
        <w:ind w:left="720" w:right="60"/>
        <w:jc w:val="both"/>
        <w:rPr>
          <w:rFonts w:cstheme="minorHAnsi"/>
          <w:sz w:val="24"/>
          <w:szCs w:val="24"/>
        </w:rPr>
      </w:pPr>
    </w:p>
    <w:p w:rsidR="00E33948" w:rsidRDefault="00E33948" w:rsidP="00AD1804">
      <w:pPr>
        <w:autoSpaceDE w:val="0"/>
        <w:autoSpaceDN w:val="0"/>
        <w:adjustRightInd w:val="0"/>
        <w:spacing w:after="0" w:line="240" w:lineRule="auto"/>
        <w:ind w:left="720" w:right="60"/>
        <w:jc w:val="both"/>
        <w:rPr>
          <w:rFonts w:cstheme="minorHAnsi"/>
          <w:sz w:val="24"/>
          <w:szCs w:val="24"/>
        </w:rPr>
      </w:pPr>
    </w:p>
    <w:p w:rsidR="00E33948" w:rsidRDefault="00E33948" w:rsidP="00AD1804">
      <w:pPr>
        <w:autoSpaceDE w:val="0"/>
        <w:autoSpaceDN w:val="0"/>
        <w:adjustRightInd w:val="0"/>
        <w:spacing w:after="0" w:line="240" w:lineRule="auto"/>
        <w:ind w:left="720" w:right="60"/>
        <w:jc w:val="both"/>
        <w:rPr>
          <w:rFonts w:cstheme="minorHAnsi"/>
          <w:sz w:val="24"/>
          <w:szCs w:val="24"/>
        </w:rPr>
      </w:pPr>
    </w:p>
    <w:p w:rsidR="00E33948" w:rsidRDefault="00E33948" w:rsidP="00AD1804">
      <w:pPr>
        <w:autoSpaceDE w:val="0"/>
        <w:autoSpaceDN w:val="0"/>
        <w:adjustRightInd w:val="0"/>
        <w:spacing w:after="0" w:line="240" w:lineRule="auto"/>
        <w:ind w:left="720" w:right="60"/>
        <w:jc w:val="both"/>
        <w:rPr>
          <w:rFonts w:cstheme="minorHAnsi"/>
          <w:sz w:val="24"/>
          <w:szCs w:val="24"/>
        </w:rPr>
      </w:pPr>
    </w:p>
    <w:p w:rsidR="00E33948" w:rsidRDefault="00E33948" w:rsidP="00AD1804">
      <w:pPr>
        <w:autoSpaceDE w:val="0"/>
        <w:autoSpaceDN w:val="0"/>
        <w:adjustRightInd w:val="0"/>
        <w:spacing w:after="0" w:line="240" w:lineRule="auto"/>
        <w:ind w:left="720" w:right="60"/>
        <w:jc w:val="both"/>
        <w:rPr>
          <w:rFonts w:cstheme="minorHAnsi"/>
          <w:sz w:val="24"/>
          <w:szCs w:val="24"/>
        </w:rPr>
      </w:pPr>
    </w:p>
    <w:p w:rsidR="00E33948" w:rsidRDefault="00E33948" w:rsidP="00AD1804">
      <w:pPr>
        <w:autoSpaceDE w:val="0"/>
        <w:autoSpaceDN w:val="0"/>
        <w:adjustRightInd w:val="0"/>
        <w:spacing w:after="0" w:line="240" w:lineRule="auto"/>
        <w:ind w:left="720" w:right="60"/>
        <w:jc w:val="both"/>
        <w:rPr>
          <w:rFonts w:cstheme="minorHAnsi"/>
          <w:sz w:val="24"/>
          <w:szCs w:val="24"/>
        </w:rPr>
      </w:pPr>
    </w:p>
    <w:p w:rsidR="00E33948" w:rsidRDefault="00E33948" w:rsidP="00AD1804">
      <w:pPr>
        <w:autoSpaceDE w:val="0"/>
        <w:autoSpaceDN w:val="0"/>
        <w:adjustRightInd w:val="0"/>
        <w:spacing w:after="0" w:line="240" w:lineRule="auto"/>
        <w:ind w:left="720" w:right="60"/>
        <w:jc w:val="both"/>
        <w:rPr>
          <w:rFonts w:cstheme="minorHAnsi"/>
          <w:sz w:val="24"/>
          <w:szCs w:val="24"/>
        </w:rPr>
      </w:pPr>
    </w:p>
    <w:p w:rsidR="00E33948" w:rsidRDefault="00E33948" w:rsidP="00AD1804">
      <w:pPr>
        <w:autoSpaceDE w:val="0"/>
        <w:autoSpaceDN w:val="0"/>
        <w:adjustRightInd w:val="0"/>
        <w:spacing w:after="0" w:line="240" w:lineRule="auto"/>
        <w:ind w:left="720" w:right="60"/>
        <w:jc w:val="both"/>
        <w:rPr>
          <w:rFonts w:cstheme="minorHAnsi"/>
          <w:sz w:val="24"/>
          <w:szCs w:val="24"/>
        </w:rPr>
      </w:pPr>
    </w:p>
    <w:p w:rsidR="00E33948" w:rsidRDefault="00E33948" w:rsidP="00AD1804">
      <w:pPr>
        <w:autoSpaceDE w:val="0"/>
        <w:autoSpaceDN w:val="0"/>
        <w:adjustRightInd w:val="0"/>
        <w:spacing w:after="0" w:line="240" w:lineRule="auto"/>
        <w:ind w:left="720" w:right="60"/>
        <w:jc w:val="both"/>
        <w:rPr>
          <w:rFonts w:cstheme="minorHAnsi"/>
          <w:sz w:val="24"/>
          <w:szCs w:val="24"/>
        </w:rPr>
      </w:pPr>
    </w:p>
    <w:p w:rsidR="00E33948" w:rsidRDefault="00E33948" w:rsidP="00AD1804">
      <w:pPr>
        <w:autoSpaceDE w:val="0"/>
        <w:autoSpaceDN w:val="0"/>
        <w:adjustRightInd w:val="0"/>
        <w:spacing w:after="0" w:line="240" w:lineRule="auto"/>
        <w:ind w:left="720" w:right="60"/>
        <w:jc w:val="both"/>
        <w:rPr>
          <w:rFonts w:cstheme="minorHAnsi"/>
          <w:sz w:val="24"/>
          <w:szCs w:val="24"/>
        </w:rPr>
      </w:pPr>
    </w:p>
    <w:p w:rsidR="00E33948" w:rsidRDefault="00E33948" w:rsidP="00AD1804">
      <w:pPr>
        <w:autoSpaceDE w:val="0"/>
        <w:autoSpaceDN w:val="0"/>
        <w:adjustRightInd w:val="0"/>
        <w:spacing w:after="0" w:line="240" w:lineRule="auto"/>
        <w:ind w:left="720" w:right="60"/>
        <w:jc w:val="both"/>
        <w:rPr>
          <w:rFonts w:cstheme="minorHAnsi"/>
          <w:sz w:val="24"/>
          <w:szCs w:val="24"/>
        </w:rPr>
      </w:pPr>
    </w:p>
    <w:p w:rsidR="00E33948" w:rsidRDefault="00E33948" w:rsidP="00AD1804">
      <w:pPr>
        <w:autoSpaceDE w:val="0"/>
        <w:autoSpaceDN w:val="0"/>
        <w:adjustRightInd w:val="0"/>
        <w:spacing w:after="0" w:line="240" w:lineRule="auto"/>
        <w:ind w:left="720" w:right="60"/>
        <w:jc w:val="both"/>
        <w:rPr>
          <w:rFonts w:cstheme="minorHAnsi"/>
          <w:sz w:val="24"/>
          <w:szCs w:val="24"/>
        </w:rPr>
      </w:pPr>
    </w:p>
    <w:p w:rsidR="00E33948" w:rsidRPr="001B3CC9" w:rsidRDefault="00E33948" w:rsidP="00AD1804">
      <w:pPr>
        <w:autoSpaceDE w:val="0"/>
        <w:autoSpaceDN w:val="0"/>
        <w:adjustRightInd w:val="0"/>
        <w:spacing w:after="0" w:line="240" w:lineRule="auto"/>
        <w:ind w:left="720" w:right="60"/>
        <w:jc w:val="both"/>
        <w:rPr>
          <w:rFonts w:cstheme="minorHAnsi"/>
          <w:sz w:val="24"/>
          <w:szCs w:val="24"/>
        </w:rPr>
      </w:pPr>
    </w:p>
    <w:p w:rsidR="00AD1804" w:rsidRPr="001B3CC9" w:rsidRDefault="002F6411" w:rsidP="002F6411">
      <w:pPr>
        <w:keepNext/>
        <w:keepLines/>
        <w:spacing w:after="0" w:line="240" w:lineRule="auto"/>
        <w:ind w:left="360"/>
        <w:contextualSpacing/>
        <w:jc w:val="center"/>
        <w:outlineLvl w:val="0"/>
        <w:rPr>
          <w:rFonts w:ascii="Arial" w:eastAsiaTheme="majorEastAsia" w:hAnsi="Arial" w:cs="Arial"/>
          <w:b/>
          <w:bCs/>
          <w:sz w:val="26"/>
          <w:szCs w:val="26"/>
          <w:u w:val="single"/>
        </w:rPr>
      </w:pPr>
      <w:bookmarkStart w:id="7" w:name="_Toc71887621"/>
      <w:r w:rsidRPr="001B3CC9">
        <w:rPr>
          <w:rFonts w:ascii="Arial" w:eastAsiaTheme="majorEastAsia" w:hAnsi="Arial" w:cs="Arial"/>
          <w:b/>
          <w:bCs/>
          <w:sz w:val="26"/>
          <w:szCs w:val="26"/>
          <w:u w:val="single"/>
        </w:rPr>
        <w:lastRenderedPageBreak/>
        <w:t xml:space="preserve">C. </w:t>
      </w:r>
      <w:r w:rsidR="00AD1804" w:rsidRPr="001B3CC9">
        <w:rPr>
          <w:rFonts w:ascii="Arial" w:eastAsiaTheme="majorEastAsia" w:hAnsi="Arial" w:cs="Arial"/>
          <w:b/>
          <w:bCs/>
          <w:sz w:val="26"/>
          <w:szCs w:val="26"/>
          <w:u w:val="single"/>
        </w:rPr>
        <w:t>Disclosures and credit Reporting</w:t>
      </w:r>
      <w:bookmarkEnd w:id="7"/>
    </w:p>
    <w:p w:rsidR="00AD1804" w:rsidRPr="001B3CC9" w:rsidRDefault="00AD1804" w:rsidP="00AD1804">
      <w:pPr>
        <w:keepNext/>
        <w:keepLines/>
        <w:spacing w:after="0" w:line="240" w:lineRule="auto"/>
        <w:ind w:left="360"/>
        <w:contextualSpacing/>
        <w:outlineLvl w:val="0"/>
        <w:rPr>
          <w:rFonts w:ascii="Arial" w:eastAsiaTheme="majorEastAsia" w:hAnsi="Arial" w:cs="Arial"/>
          <w:b/>
          <w:bCs/>
          <w:sz w:val="26"/>
          <w:szCs w:val="26"/>
        </w:rPr>
      </w:pPr>
    </w:p>
    <w:p w:rsidR="007E5104" w:rsidRPr="001B3CC9" w:rsidRDefault="00AD1804" w:rsidP="00AD1804">
      <w:pPr>
        <w:pStyle w:val="Default"/>
        <w:numPr>
          <w:ilvl w:val="0"/>
          <w:numId w:val="5"/>
        </w:numPr>
        <w:spacing w:after="120"/>
        <w:ind w:left="714" w:hanging="357"/>
        <w:jc w:val="both"/>
        <w:rPr>
          <w:color w:val="auto"/>
        </w:rPr>
      </w:pPr>
      <w:r w:rsidRPr="001B3CC9">
        <w:rPr>
          <w:color w:val="auto"/>
        </w:rPr>
        <w:t xml:space="preserve">Lending institutions publishing quarterly statements shall, at the minimum, make disclosures as per the format prescribed in Format-A in their financial statements for the quarters ending </w:t>
      </w:r>
      <w:r w:rsidR="00CD2AB5" w:rsidRPr="001B3CC9">
        <w:rPr>
          <w:color w:val="auto"/>
        </w:rPr>
        <w:t>September</w:t>
      </w:r>
      <w:r w:rsidRPr="001B3CC9">
        <w:rPr>
          <w:color w:val="auto"/>
        </w:rPr>
        <w:t xml:space="preserve"> 3</w:t>
      </w:r>
      <w:r w:rsidR="00CD2AB5" w:rsidRPr="001B3CC9">
        <w:rPr>
          <w:color w:val="auto"/>
        </w:rPr>
        <w:t>0,</w:t>
      </w:r>
      <w:r w:rsidRPr="001B3CC9">
        <w:rPr>
          <w:color w:val="auto"/>
        </w:rPr>
        <w:t xml:space="preserve"> 2021</w:t>
      </w:r>
      <w:r w:rsidR="00CD2AB5" w:rsidRPr="001B3CC9">
        <w:rPr>
          <w:color w:val="auto"/>
        </w:rPr>
        <w:t xml:space="preserve"> and December</w:t>
      </w:r>
      <w:r w:rsidRPr="001B3CC9">
        <w:rPr>
          <w:color w:val="auto"/>
        </w:rPr>
        <w:t xml:space="preserve"> 3</w:t>
      </w:r>
      <w:r w:rsidR="00CD2AB5" w:rsidRPr="001B3CC9">
        <w:rPr>
          <w:color w:val="auto"/>
        </w:rPr>
        <w:t>1</w:t>
      </w:r>
      <w:r w:rsidRPr="001B3CC9">
        <w:rPr>
          <w:color w:val="auto"/>
        </w:rPr>
        <w:t xml:space="preserve">, 2021. </w:t>
      </w:r>
      <w:r w:rsidR="007E5104" w:rsidRPr="001B3CC9">
        <w:t>The resolution plans implemented in terms of Part A of this framework should also be included in the continuous disclosures required as per Format-B prescribed in the Resolution Framework – 1.0.</w:t>
      </w:r>
      <w:r w:rsidR="007E5104" w:rsidRPr="001B3CC9">
        <w:rPr>
          <w:sz w:val="23"/>
          <w:szCs w:val="23"/>
        </w:rPr>
        <w:t xml:space="preserve"> </w:t>
      </w:r>
    </w:p>
    <w:p w:rsidR="005B5AF7" w:rsidRPr="003D35E8" w:rsidRDefault="005B5AF7" w:rsidP="00AD1804">
      <w:pPr>
        <w:pStyle w:val="Default"/>
        <w:numPr>
          <w:ilvl w:val="0"/>
          <w:numId w:val="5"/>
        </w:numPr>
        <w:spacing w:after="120"/>
        <w:ind w:left="714" w:hanging="357"/>
        <w:jc w:val="both"/>
        <w:rPr>
          <w:color w:val="auto"/>
          <w:sz w:val="28"/>
        </w:rPr>
      </w:pPr>
      <w:r w:rsidRPr="003D35E8">
        <w:rPr>
          <w:szCs w:val="23"/>
        </w:rPr>
        <w:t xml:space="preserve">The number of borrower accounts where modifications were sanctioned and implemented in terms of </w:t>
      </w:r>
      <w:r w:rsidRPr="003D35E8">
        <w:rPr>
          <w:color w:val="auto"/>
          <w:szCs w:val="23"/>
        </w:rPr>
        <w:t xml:space="preserve">Clause </w:t>
      </w:r>
      <w:r w:rsidR="00DA3D19" w:rsidRPr="003D35E8">
        <w:rPr>
          <w:color w:val="auto"/>
          <w:szCs w:val="23"/>
        </w:rPr>
        <w:t xml:space="preserve">5 of Part A </w:t>
      </w:r>
      <w:r w:rsidRPr="003D35E8">
        <w:rPr>
          <w:color w:val="auto"/>
          <w:szCs w:val="23"/>
        </w:rPr>
        <w:t>above</w:t>
      </w:r>
      <w:r w:rsidRPr="003D35E8">
        <w:rPr>
          <w:szCs w:val="23"/>
        </w:rPr>
        <w:t>, and the aggregate exposure of the lending institution to such borrowers may also be disclosed on a quarterly basis, starting from the quarter ending June 30, 2021.</w:t>
      </w:r>
    </w:p>
    <w:p w:rsidR="00AD1804" w:rsidRPr="001B3CC9" w:rsidRDefault="00AD1804" w:rsidP="00AD1804">
      <w:pPr>
        <w:pStyle w:val="Default"/>
        <w:numPr>
          <w:ilvl w:val="0"/>
          <w:numId w:val="5"/>
        </w:numPr>
        <w:spacing w:after="120"/>
        <w:ind w:left="714" w:hanging="357"/>
        <w:jc w:val="both"/>
        <w:rPr>
          <w:color w:val="auto"/>
        </w:rPr>
      </w:pPr>
      <w:r w:rsidRPr="001B3CC9">
        <w:rPr>
          <w:color w:val="auto"/>
        </w:rPr>
        <w:t>Lending institutions required to publish only annual financial statements shall make the required disclosures in their annual financial statements, along with other prescribed disclosures.</w:t>
      </w:r>
    </w:p>
    <w:p w:rsidR="00382B68" w:rsidRPr="00382B68" w:rsidRDefault="007D4262" w:rsidP="00AD1804">
      <w:pPr>
        <w:pStyle w:val="Default"/>
        <w:numPr>
          <w:ilvl w:val="0"/>
          <w:numId w:val="5"/>
        </w:numPr>
        <w:spacing w:after="120"/>
        <w:ind w:left="714" w:hanging="357"/>
        <w:jc w:val="both"/>
        <w:rPr>
          <w:color w:val="auto"/>
        </w:rPr>
      </w:pPr>
      <w:r w:rsidRPr="001B3CC9">
        <w:t xml:space="preserve">The credit reporting by the lending institutions in respect of borrowers where the resolution plan is implemented under Part A of this </w:t>
      </w:r>
      <w:r w:rsidR="00797866">
        <w:t>framework</w:t>
      </w:r>
      <w:r w:rsidRPr="001B3CC9">
        <w:t xml:space="preserve"> shall reflect the “restructured due to COVID-19” status of the account. </w:t>
      </w:r>
    </w:p>
    <w:p w:rsidR="007D4262" w:rsidRPr="001B3CC9" w:rsidRDefault="007D4262" w:rsidP="00AD1804">
      <w:pPr>
        <w:pStyle w:val="Default"/>
        <w:numPr>
          <w:ilvl w:val="0"/>
          <w:numId w:val="5"/>
        </w:numPr>
        <w:spacing w:after="120"/>
        <w:ind w:left="714" w:hanging="357"/>
        <w:jc w:val="both"/>
        <w:rPr>
          <w:color w:val="auto"/>
        </w:rPr>
      </w:pPr>
      <w:r w:rsidRPr="001B3CC9">
        <w:t>The credit history of the borrowers shall consequently be governed by the respective policies of the credit information companies as applicable to accounts that are restructured.</w:t>
      </w:r>
    </w:p>
    <w:p w:rsidR="00AD1804" w:rsidRDefault="00AD1804"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21287" w:rsidRDefault="00A21287" w:rsidP="00AD1804">
      <w:pPr>
        <w:autoSpaceDE w:val="0"/>
        <w:autoSpaceDN w:val="0"/>
        <w:adjustRightInd w:val="0"/>
        <w:spacing w:after="0" w:line="240" w:lineRule="auto"/>
        <w:ind w:left="450"/>
        <w:jc w:val="both"/>
        <w:rPr>
          <w:rFonts w:ascii="Arial" w:hAnsi="Arial" w:cs="Arial"/>
          <w:sz w:val="24"/>
          <w:szCs w:val="24"/>
        </w:rPr>
      </w:pPr>
    </w:p>
    <w:p w:rsidR="00AD1804" w:rsidRPr="001B3CC9" w:rsidRDefault="00AD1804" w:rsidP="00F86ACE">
      <w:pPr>
        <w:autoSpaceDE w:val="0"/>
        <w:autoSpaceDN w:val="0"/>
        <w:adjustRightInd w:val="0"/>
        <w:spacing w:after="0" w:line="240" w:lineRule="auto"/>
        <w:ind w:left="450"/>
        <w:jc w:val="center"/>
        <w:rPr>
          <w:rFonts w:ascii="Arial" w:hAnsi="Arial" w:cs="Arial"/>
          <w:sz w:val="24"/>
          <w:szCs w:val="24"/>
        </w:rPr>
      </w:pPr>
    </w:p>
    <w:p w:rsidR="00AD1804" w:rsidRPr="001B3CC9" w:rsidRDefault="00AD1804" w:rsidP="00F86ACE">
      <w:pPr>
        <w:keepNext/>
        <w:keepLines/>
        <w:spacing w:after="0" w:line="240" w:lineRule="auto"/>
        <w:ind w:left="360"/>
        <w:contextualSpacing/>
        <w:jc w:val="center"/>
        <w:outlineLvl w:val="0"/>
        <w:rPr>
          <w:rFonts w:ascii="Arial" w:eastAsiaTheme="majorEastAsia" w:hAnsi="Arial" w:cs="Arial"/>
          <w:b/>
          <w:bCs/>
          <w:sz w:val="26"/>
          <w:szCs w:val="26"/>
        </w:rPr>
      </w:pPr>
      <w:bookmarkStart w:id="8" w:name="_Toc71887622"/>
      <w:r w:rsidRPr="001B3CC9">
        <w:rPr>
          <w:rFonts w:ascii="Arial" w:eastAsiaTheme="majorEastAsia" w:hAnsi="Arial" w:cs="Arial"/>
          <w:b/>
          <w:bCs/>
          <w:sz w:val="26"/>
          <w:szCs w:val="26"/>
        </w:rPr>
        <w:lastRenderedPageBreak/>
        <w:t>Annexure</w:t>
      </w:r>
      <w:r w:rsidR="00F86ACE" w:rsidRPr="001B3CC9">
        <w:rPr>
          <w:rFonts w:ascii="Arial" w:eastAsiaTheme="majorEastAsia" w:hAnsi="Arial" w:cs="Arial"/>
          <w:b/>
          <w:bCs/>
          <w:sz w:val="26"/>
          <w:szCs w:val="26"/>
        </w:rPr>
        <w:t>s</w:t>
      </w:r>
      <w:bookmarkEnd w:id="8"/>
    </w:p>
    <w:p w:rsidR="00AD1804" w:rsidRPr="001B3CC9" w:rsidRDefault="00AD1804" w:rsidP="00AD1804">
      <w:pPr>
        <w:keepNext/>
        <w:keepLines/>
        <w:spacing w:after="0" w:line="240" w:lineRule="auto"/>
        <w:ind w:firstLine="720"/>
        <w:contextualSpacing/>
        <w:outlineLvl w:val="0"/>
        <w:rPr>
          <w:rFonts w:ascii="Arial" w:eastAsiaTheme="majorEastAsia" w:hAnsi="Arial" w:cs="Arial"/>
          <w:b/>
          <w:bCs/>
          <w:sz w:val="26"/>
          <w:szCs w:val="26"/>
        </w:rPr>
      </w:pPr>
    </w:p>
    <w:p w:rsidR="00AD1804" w:rsidRPr="001B3CC9" w:rsidRDefault="00AD1804" w:rsidP="00AD1804">
      <w:pPr>
        <w:tabs>
          <w:tab w:val="left" w:pos="360"/>
        </w:tabs>
        <w:autoSpaceDE w:val="0"/>
        <w:autoSpaceDN w:val="0"/>
        <w:adjustRightInd w:val="0"/>
        <w:spacing w:after="0" w:line="240" w:lineRule="auto"/>
        <w:jc w:val="right"/>
        <w:rPr>
          <w:rFonts w:ascii="Arial" w:hAnsi="Arial" w:cs="Arial"/>
          <w:sz w:val="24"/>
          <w:szCs w:val="24"/>
        </w:rPr>
      </w:pPr>
      <w:r w:rsidRPr="001B3CC9">
        <w:rPr>
          <w:b/>
          <w:bCs/>
          <w:sz w:val="23"/>
          <w:szCs w:val="23"/>
        </w:rPr>
        <w:t>Format – A</w:t>
      </w:r>
    </w:p>
    <w:p w:rsidR="00AD1804" w:rsidRPr="00E9528B" w:rsidRDefault="00B34C87" w:rsidP="005D7ED6">
      <w:pPr>
        <w:tabs>
          <w:tab w:val="left" w:pos="0"/>
        </w:tabs>
        <w:autoSpaceDE w:val="0"/>
        <w:autoSpaceDN w:val="0"/>
        <w:adjustRightInd w:val="0"/>
        <w:spacing w:after="0" w:line="240" w:lineRule="auto"/>
        <w:jc w:val="both"/>
        <w:rPr>
          <w:bCs/>
          <w:sz w:val="23"/>
          <w:szCs w:val="23"/>
        </w:rPr>
      </w:pPr>
      <w:r w:rsidRPr="00E9528B">
        <w:rPr>
          <w:bCs/>
          <w:sz w:val="23"/>
          <w:szCs w:val="23"/>
        </w:rPr>
        <w:t>Format for disclosures to be made in the quarters ending September 30 and December 31, 2021</w:t>
      </w:r>
    </w:p>
    <w:p w:rsidR="00B34C87" w:rsidRPr="001B3CC9" w:rsidRDefault="00B34C87" w:rsidP="00AD1804">
      <w:pPr>
        <w:tabs>
          <w:tab w:val="left" w:pos="360"/>
        </w:tabs>
        <w:autoSpaceDE w:val="0"/>
        <w:autoSpaceDN w:val="0"/>
        <w:adjustRightInd w:val="0"/>
        <w:spacing w:after="0" w:line="240" w:lineRule="auto"/>
        <w:ind w:left="360"/>
        <w:jc w:val="both"/>
        <w:rPr>
          <w:b/>
          <w:bCs/>
          <w:sz w:val="23"/>
          <w:szCs w:val="23"/>
        </w:rPr>
      </w:pPr>
    </w:p>
    <w:tbl>
      <w:tblPr>
        <w:tblStyle w:val="TableGrid"/>
        <w:tblW w:w="0" w:type="auto"/>
        <w:tblInd w:w="85" w:type="dxa"/>
        <w:tblLook w:val="04A0" w:firstRow="1" w:lastRow="0" w:firstColumn="1" w:lastColumn="0" w:noHBand="0" w:noVBand="1"/>
      </w:tblPr>
      <w:tblGrid>
        <w:gridCol w:w="540"/>
        <w:gridCol w:w="4590"/>
        <w:gridCol w:w="1260"/>
        <w:gridCol w:w="1316"/>
        <w:gridCol w:w="1469"/>
      </w:tblGrid>
      <w:tr w:rsidR="00B34C87" w:rsidRPr="001B3CC9" w:rsidTr="00B021E2">
        <w:tc>
          <w:tcPr>
            <w:tcW w:w="540" w:type="dxa"/>
            <w:vMerge w:val="restart"/>
            <w:vAlign w:val="center"/>
          </w:tcPr>
          <w:p w:rsidR="00B34C87" w:rsidRPr="001B3CC9" w:rsidRDefault="00B34C87" w:rsidP="001F2084">
            <w:pPr>
              <w:pStyle w:val="Default"/>
              <w:jc w:val="center"/>
              <w:rPr>
                <w:sz w:val="23"/>
                <w:szCs w:val="23"/>
              </w:rPr>
            </w:pPr>
            <w:r w:rsidRPr="001B3CC9">
              <w:rPr>
                <w:b/>
                <w:bCs/>
                <w:sz w:val="23"/>
                <w:szCs w:val="23"/>
              </w:rPr>
              <w:t>Sl. No</w:t>
            </w:r>
          </w:p>
        </w:tc>
        <w:tc>
          <w:tcPr>
            <w:tcW w:w="4590" w:type="dxa"/>
            <w:vMerge w:val="restart"/>
            <w:vAlign w:val="center"/>
          </w:tcPr>
          <w:p w:rsidR="00B34C87" w:rsidRPr="001B3CC9" w:rsidRDefault="00B34C87" w:rsidP="001F2084">
            <w:pPr>
              <w:pStyle w:val="Default"/>
              <w:jc w:val="center"/>
              <w:rPr>
                <w:sz w:val="23"/>
                <w:szCs w:val="23"/>
              </w:rPr>
            </w:pPr>
            <w:r w:rsidRPr="001B3CC9">
              <w:rPr>
                <w:b/>
                <w:bCs/>
                <w:sz w:val="23"/>
                <w:szCs w:val="23"/>
              </w:rPr>
              <w:t>Description</w:t>
            </w:r>
          </w:p>
        </w:tc>
        <w:tc>
          <w:tcPr>
            <w:tcW w:w="2576" w:type="dxa"/>
            <w:gridSpan w:val="2"/>
            <w:vAlign w:val="center"/>
          </w:tcPr>
          <w:p w:rsidR="00B34C87" w:rsidRPr="001B3CC9" w:rsidRDefault="00B34C87" w:rsidP="001F2084">
            <w:pPr>
              <w:pStyle w:val="Default"/>
              <w:jc w:val="center"/>
              <w:rPr>
                <w:sz w:val="23"/>
                <w:szCs w:val="23"/>
              </w:rPr>
            </w:pPr>
            <w:r w:rsidRPr="001B3CC9">
              <w:rPr>
                <w:b/>
                <w:bCs/>
                <w:sz w:val="23"/>
                <w:szCs w:val="23"/>
              </w:rPr>
              <w:t>Individual Borrowers</w:t>
            </w:r>
          </w:p>
        </w:tc>
        <w:tc>
          <w:tcPr>
            <w:tcW w:w="1469" w:type="dxa"/>
            <w:vMerge w:val="restart"/>
            <w:vAlign w:val="center"/>
          </w:tcPr>
          <w:p w:rsidR="00B34C87" w:rsidRPr="001B3CC9" w:rsidRDefault="00B34C87" w:rsidP="001F2084">
            <w:pPr>
              <w:pStyle w:val="Default"/>
              <w:jc w:val="center"/>
              <w:rPr>
                <w:sz w:val="23"/>
                <w:szCs w:val="23"/>
              </w:rPr>
            </w:pPr>
            <w:r w:rsidRPr="001B3CC9">
              <w:rPr>
                <w:b/>
                <w:bCs/>
                <w:sz w:val="23"/>
                <w:szCs w:val="23"/>
              </w:rPr>
              <w:t>Small businesses</w:t>
            </w:r>
          </w:p>
        </w:tc>
      </w:tr>
      <w:tr w:rsidR="00B34C87" w:rsidRPr="001B3CC9" w:rsidTr="00410DAC">
        <w:trPr>
          <w:trHeight w:val="390"/>
        </w:trPr>
        <w:tc>
          <w:tcPr>
            <w:tcW w:w="540" w:type="dxa"/>
            <w:vMerge/>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c>
          <w:tcPr>
            <w:tcW w:w="4590" w:type="dxa"/>
            <w:vMerge/>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c>
          <w:tcPr>
            <w:tcW w:w="1260" w:type="dxa"/>
            <w:vAlign w:val="center"/>
          </w:tcPr>
          <w:p w:rsidR="00B34C87" w:rsidRPr="001B3CC9" w:rsidRDefault="00B34C87" w:rsidP="00B021E2">
            <w:pPr>
              <w:pStyle w:val="Default"/>
              <w:jc w:val="center"/>
              <w:rPr>
                <w:sz w:val="23"/>
                <w:szCs w:val="23"/>
              </w:rPr>
            </w:pPr>
            <w:r w:rsidRPr="001B3CC9">
              <w:rPr>
                <w:b/>
                <w:bCs/>
                <w:sz w:val="23"/>
                <w:szCs w:val="23"/>
              </w:rPr>
              <w:t>Personal Loans</w:t>
            </w:r>
          </w:p>
        </w:tc>
        <w:tc>
          <w:tcPr>
            <w:tcW w:w="1316" w:type="dxa"/>
            <w:vAlign w:val="center"/>
          </w:tcPr>
          <w:p w:rsidR="00B34C87" w:rsidRPr="001B3CC9" w:rsidRDefault="00B34C87" w:rsidP="00B021E2">
            <w:pPr>
              <w:pStyle w:val="Default"/>
              <w:jc w:val="center"/>
              <w:rPr>
                <w:sz w:val="23"/>
                <w:szCs w:val="23"/>
              </w:rPr>
            </w:pPr>
            <w:r w:rsidRPr="001B3CC9">
              <w:rPr>
                <w:b/>
                <w:bCs/>
                <w:sz w:val="23"/>
                <w:szCs w:val="23"/>
              </w:rPr>
              <w:t>Business Loans</w:t>
            </w:r>
          </w:p>
        </w:tc>
        <w:tc>
          <w:tcPr>
            <w:tcW w:w="1469" w:type="dxa"/>
            <w:vMerge/>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r>
      <w:tr w:rsidR="00B34C87" w:rsidRPr="001B3CC9" w:rsidTr="00B021E2">
        <w:tc>
          <w:tcPr>
            <w:tcW w:w="540" w:type="dxa"/>
            <w:vAlign w:val="center"/>
          </w:tcPr>
          <w:p w:rsidR="00B34C87" w:rsidRPr="001B3CC9" w:rsidRDefault="00B34C87" w:rsidP="00196B2C">
            <w:pPr>
              <w:tabs>
                <w:tab w:val="left" w:pos="360"/>
              </w:tabs>
              <w:autoSpaceDE w:val="0"/>
              <w:autoSpaceDN w:val="0"/>
              <w:adjustRightInd w:val="0"/>
              <w:spacing w:after="0" w:line="240" w:lineRule="auto"/>
              <w:jc w:val="center"/>
              <w:rPr>
                <w:b/>
                <w:bCs/>
                <w:sz w:val="23"/>
                <w:szCs w:val="23"/>
              </w:rPr>
            </w:pPr>
            <w:r w:rsidRPr="001B3CC9">
              <w:rPr>
                <w:b/>
                <w:bCs/>
                <w:sz w:val="23"/>
                <w:szCs w:val="23"/>
              </w:rPr>
              <w:t>A</w:t>
            </w:r>
          </w:p>
        </w:tc>
        <w:tc>
          <w:tcPr>
            <w:tcW w:w="4590" w:type="dxa"/>
            <w:vAlign w:val="center"/>
          </w:tcPr>
          <w:p w:rsidR="00B34C87" w:rsidRPr="001B3CC9" w:rsidRDefault="00B34C87" w:rsidP="00B34C87">
            <w:pPr>
              <w:pStyle w:val="Default"/>
              <w:jc w:val="both"/>
              <w:rPr>
                <w:sz w:val="23"/>
                <w:szCs w:val="23"/>
              </w:rPr>
            </w:pPr>
            <w:r w:rsidRPr="001B3CC9">
              <w:rPr>
                <w:sz w:val="23"/>
                <w:szCs w:val="23"/>
              </w:rPr>
              <w:t xml:space="preserve">Number of requests received for invoking resolution process under Part A </w:t>
            </w:r>
          </w:p>
        </w:tc>
        <w:tc>
          <w:tcPr>
            <w:tcW w:w="1260" w:type="dxa"/>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c>
          <w:tcPr>
            <w:tcW w:w="1316" w:type="dxa"/>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c>
          <w:tcPr>
            <w:tcW w:w="1469" w:type="dxa"/>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r>
      <w:tr w:rsidR="00B34C87" w:rsidRPr="001B3CC9" w:rsidTr="00B021E2">
        <w:tc>
          <w:tcPr>
            <w:tcW w:w="540" w:type="dxa"/>
            <w:vAlign w:val="center"/>
          </w:tcPr>
          <w:p w:rsidR="00B34C87" w:rsidRPr="001B3CC9" w:rsidRDefault="00B34C87" w:rsidP="00196B2C">
            <w:pPr>
              <w:tabs>
                <w:tab w:val="left" w:pos="360"/>
              </w:tabs>
              <w:autoSpaceDE w:val="0"/>
              <w:autoSpaceDN w:val="0"/>
              <w:adjustRightInd w:val="0"/>
              <w:spacing w:after="0" w:line="240" w:lineRule="auto"/>
              <w:jc w:val="center"/>
              <w:rPr>
                <w:b/>
                <w:bCs/>
                <w:sz w:val="23"/>
                <w:szCs w:val="23"/>
              </w:rPr>
            </w:pPr>
            <w:r w:rsidRPr="001B3CC9">
              <w:rPr>
                <w:b/>
                <w:bCs/>
                <w:sz w:val="23"/>
                <w:szCs w:val="23"/>
              </w:rPr>
              <w:t>B</w:t>
            </w:r>
          </w:p>
        </w:tc>
        <w:tc>
          <w:tcPr>
            <w:tcW w:w="4590" w:type="dxa"/>
            <w:vAlign w:val="center"/>
          </w:tcPr>
          <w:p w:rsidR="00B34C87" w:rsidRPr="001B3CC9" w:rsidRDefault="00B34C87" w:rsidP="00B34C87">
            <w:pPr>
              <w:pStyle w:val="Default"/>
              <w:jc w:val="both"/>
              <w:rPr>
                <w:sz w:val="23"/>
                <w:szCs w:val="23"/>
              </w:rPr>
            </w:pPr>
            <w:r w:rsidRPr="001B3CC9">
              <w:rPr>
                <w:sz w:val="23"/>
                <w:szCs w:val="23"/>
              </w:rPr>
              <w:t xml:space="preserve">Number of accounts where resolution plan has been implemented under this window </w:t>
            </w:r>
          </w:p>
        </w:tc>
        <w:tc>
          <w:tcPr>
            <w:tcW w:w="1260" w:type="dxa"/>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c>
          <w:tcPr>
            <w:tcW w:w="1316" w:type="dxa"/>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c>
          <w:tcPr>
            <w:tcW w:w="1469" w:type="dxa"/>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r>
      <w:tr w:rsidR="00B34C87" w:rsidRPr="001B3CC9" w:rsidTr="00B021E2">
        <w:tc>
          <w:tcPr>
            <w:tcW w:w="540" w:type="dxa"/>
            <w:vAlign w:val="center"/>
          </w:tcPr>
          <w:p w:rsidR="00B34C87" w:rsidRPr="001B3CC9" w:rsidRDefault="00B34C87" w:rsidP="00196B2C">
            <w:pPr>
              <w:tabs>
                <w:tab w:val="left" w:pos="360"/>
              </w:tabs>
              <w:autoSpaceDE w:val="0"/>
              <w:autoSpaceDN w:val="0"/>
              <w:adjustRightInd w:val="0"/>
              <w:spacing w:after="0" w:line="240" w:lineRule="auto"/>
              <w:jc w:val="center"/>
              <w:rPr>
                <w:b/>
                <w:bCs/>
                <w:sz w:val="23"/>
                <w:szCs w:val="23"/>
              </w:rPr>
            </w:pPr>
            <w:r w:rsidRPr="001B3CC9">
              <w:rPr>
                <w:b/>
                <w:bCs/>
                <w:sz w:val="23"/>
                <w:szCs w:val="23"/>
              </w:rPr>
              <w:t>C</w:t>
            </w:r>
          </w:p>
        </w:tc>
        <w:tc>
          <w:tcPr>
            <w:tcW w:w="4590" w:type="dxa"/>
            <w:vAlign w:val="center"/>
          </w:tcPr>
          <w:p w:rsidR="00B34C87" w:rsidRPr="001B3CC9" w:rsidRDefault="00B34C87" w:rsidP="00B34C87">
            <w:pPr>
              <w:pStyle w:val="Default"/>
              <w:jc w:val="both"/>
              <w:rPr>
                <w:sz w:val="23"/>
                <w:szCs w:val="23"/>
              </w:rPr>
            </w:pPr>
            <w:r w:rsidRPr="001B3CC9">
              <w:rPr>
                <w:sz w:val="23"/>
                <w:szCs w:val="23"/>
              </w:rPr>
              <w:t xml:space="preserve">Exposure to accounts mentioned at (B) before implementation of the plan </w:t>
            </w:r>
          </w:p>
        </w:tc>
        <w:tc>
          <w:tcPr>
            <w:tcW w:w="1260" w:type="dxa"/>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c>
          <w:tcPr>
            <w:tcW w:w="1316" w:type="dxa"/>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c>
          <w:tcPr>
            <w:tcW w:w="1469" w:type="dxa"/>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r>
      <w:tr w:rsidR="00B34C87" w:rsidRPr="001B3CC9" w:rsidTr="00B021E2">
        <w:tc>
          <w:tcPr>
            <w:tcW w:w="540" w:type="dxa"/>
            <w:vAlign w:val="center"/>
          </w:tcPr>
          <w:p w:rsidR="00B34C87" w:rsidRPr="001B3CC9" w:rsidRDefault="00B34C87" w:rsidP="00196B2C">
            <w:pPr>
              <w:tabs>
                <w:tab w:val="left" w:pos="360"/>
              </w:tabs>
              <w:autoSpaceDE w:val="0"/>
              <w:autoSpaceDN w:val="0"/>
              <w:adjustRightInd w:val="0"/>
              <w:spacing w:after="0" w:line="240" w:lineRule="auto"/>
              <w:jc w:val="center"/>
              <w:rPr>
                <w:b/>
                <w:bCs/>
                <w:sz w:val="23"/>
                <w:szCs w:val="23"/>
              </w:rPr>
            </w:pPr>
            <w:r w:rsidRPr="001B3CC9">
              <w:rPr>
                <w:b/>
                <w:bCs/>
                <w:sz w:val="23"/>
                <w:szCs w:val="23"/>
              </w:rPr>
              <w:t>D</w:t>
            </w:r>
          </w:p>
        </w:tc>
        <w:tc>
          <w:tcPr>
            <w:tcW w:w="4590" w:type="dxa"/>
            <w:vAlign w:val="center"/>
          </w:tcPr>
          <w:p w:rsidR="00B34C87" w:rsidRPr="001B3CC9" w:rsidRDefault="00B34C87" w:rsidP="00B34C87">
            <w:pPr>
              <w:pStyle w:val="Default"/>
              <w:jc w:val="both"/>
              <w:rPr>
                <w:sz w:val="23"/>
                <w:szCs w:val="23"/>
              </w:rPr>
            </w:pPr>
            <w:r w:rsidRPr="001B3CC9">
              <w:rPr>
                <w:sz w:val="23"/>
                <w:szCs w:val="23"/>
              </w:rPr>
              <w:t xml:space="preserve">Of (C), aggregate amount of debt that was converted into other securities </w:t>
            </w:r>
          </w:p>
        </w:tc>
        <w:tc>
          <w:tcPr>
            <w:tcW w:w="1260" w:type="dxa"/>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c>
          <w:tcPr>
            <w:tcW w:w="1316" w:type="dxa"/>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c>
          <w:tcPr>
            <w:tcW w:w="1469" w:type="dxa"/>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r>
      <w:tr w:rsidR="00B34C87" w:rsidRPr="001B3CC9" w:rsidTr="00B021E2">
        <w:tc>
          <w:tcPr>
            <w:tcW w:w="540" w:type="dxa"/>
            <w:vAlign w:val="center"/>
          </w:tcPr>
          <w:p w:rsidR="00B34C87" w:rsidRPr="001B3CC9" w:rsidRDefault="00B34C87" w:rsidP="00196B2C">
            <w:pPr>
              <w:tabs>
                <w:tab w:val="left" w:pos="360"/>
              </w:tabs>
              <w:autoSpaceDE w:val="0"/>
              <w:autoSpaceDN w:val="0"/>
              <w:adjustRightInd w:val="0"/>
              <w:spacing w:after="0" w:line="240" w:lineRule="auto"/>
              <w:jc w:val="center"/>
              <w:rPr>
                <w:b/>
                <w:bCs/>
                <w:sz w:val="23"/>
                <w:szCs w:val="23"/>
              </w:rPr>
            </w:pPr>
            <w:r w:rsidRPr="001B3CC9">
              <w:rPr>
                <w:b/>
                <w:bCs/>
                <w:sz w:val="23"/>
                <w:szCs w:val="23"/>
              </w:rPr>
              <w:t>E</w:t>
            </w:r>
          </w:p>
        </w:tc>
        <w:tc>
          <w:tcPr>
            <w:tcW w:w="4590" w:type="dxa"/>
            <w:vAlign w:val="center"/>
          </w:tcPr>
          <w:p w:rsidR="00B34C87" w:rsidRPr="001B3CC9" w:rsidRDefault="00B34C87" w:rsidP="00B34C87">
            <w:pPr>
              <w:pStyle w:val="Default"/>
              <w:jc w:val="both"/>
              <w:rPr>
                <w:sz w:val="23"/>
                <w:szCs w:val="23"/>
              </w:rPr>
            </w:pPr>
            <w:r w:rsidRPr="001B3CC9">
              <w:rPr>
                <w:sz w:val="23"/>
                <w:szCs w:val="23"/>
              </w:rPr>
              <w:t xml:space="preserve">Additional funding sanctioned, if any, including between invocation of the plan and implementation </w:t>
            </w:r>
          </w:p>
        </w:tc>
        <w:tc>
          <w:tcPr>
            <w:tcW w:w="1260" w:type="dxa"/>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c>
          <w:tcPr>
            <w:tcW w:w="1316" w:type="dxa"/>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c>
          <w:tcPr>
            <w:tcW w:w="1469" w:type="dxa"/>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r>
      <w:tr w:rsidR="00B34C87" w:rsidRPr="001B3CC9" w:rsidTr="00B021E2">
        <w:tc>
          <w:tcPr>
            <w:tcW w:w="540" w:type="dxa"/>
            <w:vAlign w:val="center"/>
          </w:tcPr>
          <w:p w:rsidR="00B34C87" w:rsidRPr="001B3CC9" w:rsidRDefault="00B34C87" w:rsidP="00196B2C">
            <w:pPr>
              <w:tabs>
                <w:tab w:val="left" w:pos="360"/>
              </w:tabs>
              <w:autoSpaceDE w:val="0"/>
              <w:autoSpaceDN w:val="0"/>
              <w:adjustRightInd w:val="0"/>
              <w:spacing w:after="0" w:line="240" w:lineRule="auto"/>
              <w:jc w:val="center"/>
              <w:rPr>
                <w:b/>
                <w:bCs/>
                <w:sz w:val="23"/>
                <w:szCs w:val="23"/>
              </w:rPr>
            </w:pPr>
            <w:r w:rsidRPr="001B3CC9">
              <w:rPr>
                <w:b/>
                <w:bCs/>
                <w:sz w:val="23"/>
                <w:szCs w:val="23"/>
              </w:rPr>
              <w:t>F</w:t>
            </w:r>
          </w:p>
        </w:tc>
        <w:tc>
          <w:tcPr>
            <w:tcW w:w="4590" w:type="dxa"/>
            <w:vAlign w:val="center"/>
          </w:tcPr>
          <w:p w:rsidR="00B34C87" w:rsidRPr="001B3CC9" w:rsidRDefault="00B34C87" w:rsidP="00B34C87">
            <w:pPr>
              <w:pStyle w:val="Default"/>
              <w:jc w:val="both"/>
              <w:rPr>
                <w:sz w:val="23"/>
                <w:szCs w:val="23"/>
              </w:rPr>
            </w:pPr>
            <w:r w:rsidRPr="001B3CC9">
              <w:rPr>
                <w:sz w:val="23"/>
                <w:szCs w:val="23"/>
              </w:rPr>
              <w:t xml:space="preserve">Increase in provisions on account of the implementation of the resolution plan </w:t>
            </w:r>
          </w:p>
        </w:tc>
        <w:tc>
          <w:tcPr>
            <w:tcW w:w="1260" w:type="dxa"/>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c>
          <w:tcPr>
            <w:tcW w:w="1316" w:type="dxa"/>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c>
          <w:tcPr>
            <w:tcW w:w="1469" w:type="dxa"/>
            <w:vAlign w:val="center"/>
          </w:tcPr>
          <w:p w:rsidR="00B34C87" w:rsidRPr="001B3CC9" w:rsidRDefault="00B34C87" w:rsidP="00AD1804">
            <w:pPr>
              <w:tabs>
                <w:tab w:val="left" w:pos="360"/>
              </w:tabs>
              <w:autoSpaceDE w:val="0"/>
              <w:autoSpaceDN w:val="0"/>
              <w:adjustRightInd w:val="0"/>
              <w:spacing w:after="0" w:line="240" w:lineRule="auto"/>
              <w:jc w:val="both"/>
              <w:rPr>
                <w:b/>
                <w:bCs/>
                <w:sz w:val="23"/>
                <w:szCs w:val="23"/>
              </w:rPr>
            </w:pPr>
          </w:p>
        </w:tc>
      </w:tr>
    </w:tbl>
    <w:p w:rsidR="00B34C87" w:rsidRPr="001B3CC9" w:rsidRDefault="00B34C87" w:rsidP="00AD1804">
      <w:pPr>
        <w:tabs>
          <w:tab w:val="left" w:pos="360"/>
        </w:tabs>
        <w:autoSpaceDE w:val="0"/>
        <w:autoSpaceDN w:val="0"/>
        <w:adjustRightInd w:val="0"/>
        <w:spacing w:after="0" w:line="240" w:lineRule="auto"/>
        <w:ind w:left="360"/>
        <w:jc w:val="both"/>
        <w:rPr>
          <w:b/>
          <w:bCs/>
          <w:sz w:val="23"/>
          <w:szCs w:val="23"/>
        </w:rPr>
      </w:pPr>
    </w:p>
    <w:p w:rsidR="00AD1804" w:rsidRPr="001B3CC9" w:rsidRDefault="00AD1804" w:rsidP="00AD1804">
      <w:pPr>
        <w:tabs>
          <w:tab w:val="left" w:pos="360"/>
        </w:tabs>
        <w:autoSpaceDE w:val="0"/>
        <w:autoSpaceDN w:val="0"/>
        <w:adjustRightInd w:val="0"/>
        <w:spacing w:after="0" w:line="240" w:lineRule="auto"/>
        <w:jc w:val="right"/>
        <w:rPr>
          <w:b/>
          <w:bCs/>
          <w:sz w:val="23"/>
          <w:szCs w:val="23"/>
        </w:rPr>
      </w:pPr>
      <w:r w:rsidRPr="001B3CC9">
        <w:rPr>
          <w:b/>
          <w:bCs/>
          <w:sz w:val="23"/>
          <w:szCs w:val="23"/>
        </w:rPr>
        <w:t>Format-B</w:t>
      </w:r>
    </w:p>
    <w:tbl>
      <w:tblPr>
        <w:tblpPr w:leftFromText="180" w:rightFromText="180" w:vertAnchor="text" w:horzAnchor="margin" w:tblpY="697"/>
        <w:tblW w:w="5395"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2024"/>
        <w:gridCol w:w="1332"/>
        <w:gridCol w:w="1332"/>
        <w:gridCol w:w="1629"/>
        <w:gridCol w:w="1790"/>
      </w:tblGrid>
      <w:tr w:rsidR="00AD1804" w:rsidRPr="001B3CC9" w:rsidTr="00304A20">
        <w:trPr>
          <w:trHeight w:val="3181"/>
          <w:tblCellSpacing w:w="7" w:type="dxa"/>
        </w:trPr>
        <w:tc>
          <w:tcPr>
            <w:tcW w:w="933" w:type="pct"/>
            <w:vAlign w:val="center"/>
            <w:hideMark/>
          </w:tcPr>
          <w:p w:rsidR="00AD1804" w:rsidRPr="001B3CC9" w:rsidRDefault="00AD1804" w:rsidP="00000D4F">
            <w:pPr>
              <w:spacing w:after="0" w:line="240" w:lineRule="auto"/>
              <w:jc w:val="center"/>
              <w:rPr>
                <w:rFonts w:ascii="Calibri" w:eastAsia="Times New Roman" w:hAnsi="Calibri" w:cs="Calibri"/>
                <w:sz w:val="24"/>
                <w:szCs w:val="24"/>
                <w:lang w:val="en-US"/>
              </w:rPr>
            </w:pPr>
            <w:r w:rsidRPr="001B3CC9">
              <w:rPr>
                <w:rFonts w:ascii="Calibri" w:eastAsia="Times New Roman" w:hAnsi="Calibri" w:cs="Calibri"/>
                <w:sz w:val="24"/>
                <w:szCs w:val="24"/>
                <w:lang w:val="en-US"/>
              </w:rPr>
              <w:t>Type of borrower</w:t>
            </w:r>
          </w:p>
        </w:tc>
        <w:tc>
          <w:tcPr>
            <w:tcW w:w="1006" w:type="pct"/>
            <w:vAlign w:val="center"/>
            <w:hideMark/>
          </w:tcPr>
          <w:p w:rsidR="00AD1804" w:rsidRPr="001B3CC9" w:rsidRDefault="00AD1804" w:rsidP="00000D4F">
            <w:pPr>
              <w:spacing w:after="0" w:line="240" w:lineRule="auto"/>
              <w:jc w:val="center"/>
              <w:rPr>
                <w:rFonts w:ascii="Calibri" w:eastAsia="Times New Roman" w:hAnsi="Calibri" w:cs="Calibri"/>
                <w:sz w:val="24"/>
                <w:szCs w:val="24"/>
                <w:lang w:val="en-US"/>
              </w:rPr>
            </w:pPr>
            <w:r w:rsidRPr="001B3CC9">
              <w:rPr>
                <w:rFonts w:ascii="Calibri" w:eastAsia="Times New Roman" w:hAnsi="Calibri" w:cs="Calibri"/>
                <w:sz w:val="24"/>
                <w:szCs w:val="24"/>
                <w:lang w:val="en-US"/>
              </w:rPr>
              <w:t>Exposure to accounts classified as Standard consequent to implementation of resolution plan – Position as at the end of the previous half-year (A)</w:t>
            </w:r>
          </w:p>
        </w:tc>
        <w:tc>
          <w:tcPr>
            <w:tcW w:w="660" w:type="pct"/>
            <w:vAlign w:val="center"/>
            <w:hideMark/>
          </w:tcPr>
          <w:p w:rsidR="00AD1804" w:rsidRPr="001B3CC9" w:rsidRDefault="00AD1804" w:rsidP="00000D4F">
            <w:pPr>
              <w:spacing w:after="0" w:line="240" w:lineRule="auto"/>
              <w:jc w:val="center"/>
              <w:rPr>
                <w:rFonts w:ascii="Calibri" w:eastAsia="Times New Roman" w:hAnsi="Calibri" w:cs="Calibri"/>
                <w:sz w:val="24"/>
                <w:szCs w:val="24"/>
                <w:lang w:val="en-US"/>
              </w:rPr>
            </w:pPr>
            <w:r w:rsidRPr="001B3CC9">
              <w:rPr>
                <w:rFonts w:ascii="Calibri" w:eastAsia="Times New Roman" w:hAnsi="Calibri" w:cs="Calibri"/>
                <w:sz w:val="24"/>
                <w:szCs w:val="24"/>
                <w:lang w:val="en-US"/>
              </w:rPr>
              <w:t>Of (A), aggregate debt that slipped into NPA during the half-year</w:t>
            </w:r>
          </w:p>
        </w:tc>
        <w:tc>
          <w:tcPr>
            <w:tcW w:w="660" w:type="pct"/>
            <w:vAlign w:val="center"/>
            <w:hideMark/>
          </w:tcPr>
          <w:p w:rsidR="00AD1804" w:rsidRPr="001B3CC9" w:rsidRDefault="00AD1804" w:rsidP="00000D4F">
            <w:pPr>
              <w:spacing w:after="0" w:line="240" w:lineRule="auto"/>
              <w:jc w:val="center"/>
              <w:rPr>
                <w:rFonts w:ascii="Calibri" w:eastAsia="Times New Roman" w:hAnsi="Calibri" w:cs="Calibri"/>
                <w:sz w:val="24"/>
                <w:szCs w:val="24"/>
                <w:lang w:val="en-US"/>
              </w:rPr>
            </w:pPr>
            <w:r w:rsidRPr="001B3CC9">
              <w:rPr>
                <w:rFonts w:ascii="Calibri" w:eastAsia="Times New Roman" w:hAnsi="Calibri" w:cs="Calibri"/>
                <w:sz w:val="24"/>
                <w:szCs w:val="24"/>
                <w:lang w:val="en-US"/>
              </w:rPr>
              <w:t>Of (A) amount written off during the half-year</w:t>
            </w:r>
          </w:p>
        </w:tc>
        <w:tc>
          <w:tcPr>
            <w:tcW w:w="808" w:type="pct"/>
            <w:vAlign w:val="center"/>
            <w:hideMark/>
          </w:tcPr>
          <w:p w:rsidR="00AD1804" w:rsidRPr="001B3CC9" w:rsidRDefault="00AD1804" w:rsidP="00000D4F">
            <w:pPr>
              <w:spacing w:after="0" w:line="240" w:lineRule="auto"/>
              <w:jc w:val="center"/>
              <w:rPr>
                <w:rFonts w:ascii="Calibri" w:eastAsia="Times New Roman" w:hAnsi="Calibri" w:cs="Calibri"/>
                <w:sz w:val="24"/>
                <w:szCs w:val="24"/>
                <w:lang w:val="en-US"/>
              </w:rPr>
            </w:pPr>
            <w:r w:rsidRPr="001B3CC9">
              <w:rPr>
                <w:rFonts w:ascii="Calibri" w:eastAsia="Times New Roman" w:hAnsi="Calibri" w:cs="Calibri"/>
                <w:sz w:val="24"/>
                <w:szCs w:val="24"/>
                <w:lang w:val="en-US"/>
              </w:rPr>
              <w:t>Of (A) amount paid by the borrowers during the half-year</w:t>
            </w:r>
          </w:p>
        </w:tc>
        <w:tc>
          <w:tcPr>
            <w:tcW w:w="885" w:type="pct"/>
            <w:vAlign w:val="center"/>
            <w:hideMark/>
          </w:tcPr>
          <w:p w:rsidR="00AD1804" w:rsidRPr="001B3CC9" w:rsidRDefault="00AD1804" w:rsidP="00000D4F">
            <w:pPr>
              <w:spacing w:after="0" w:line="240" w:lineRule="auto"/>
              <w:jc w:val="center"/>
              <w:rPr>
                <w:rFonts w:ascii="Calibri" w:eastAsia="Times New Roman" w:hAnsi="Calibri" w:cs="Calibri"/>
                <w:sz w:val="24"/>
                <w:szCs w:val="24"/>
                <w:lang w:val="en-US"/>
              </w:rPr>
            </w:pPr>
            <w:r w:rsidRPr="001B3CC9">
              <w:rPr>
                <w:rFonts w:ascii="Calibri" w:eastAsia="Times New Roman" w:hAnsi="Calibri" w:cs="Calibri"/>
                <w:sz w:val="24"/>
                <w:szCs w:val="24"/>
                <w:lang w:val="en-US"/>
              </w:rPr>
              <w:t>Exposure to accounts classified as Standard consequent to implementation of resolution plan – Position as at the end of this half-year</w:t>
            </w:r>
          </w:p>
        </w:tc>
      </w:tr>
      <w:tr w:rsidR="00AD1804" w:rsidRPr="001B3CC9" w:rsidTr="00304A20">
        <w:trPr>
          <w:trHeight w:val="295"/>
          <w:tblCellSpacing w:w="7" w:type="dxa"/>
        </w:trPr>
        <w:tc>
          <w:tcPr>
            <w:tcW w:w="933" w:type="pct"/>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Personal Loans</w:t>
            </w:r>
          </w:p>
        </w:tc>
        <w:tc>
          <w:tcPr>
            <w:tcW w:w="1006" w:type="pct"/>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c>
          <w:tcPr>
            <w:tcW w:w="0" w:type="auto"/>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c>
          <w:tcPr>
            <w:tcW w:w="0" w:type="auto"/>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c>
          <w:tcPr>
            <w:tcW w:w="0" w:type="auto"/>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c>
          <w:tcPr>
            <w:tcW w:w="0" w:type="auto"/>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r>
      <w:tr w:rsidR="00AD1804" w:rsidRPr="001B3CC9" w:rsidTr="00304A20">
        <w:trPr>
          <w:trHeight w:val="577"/>
          <w:tblCellSpacing w:w="7" w:type="dxa"/>
        </w:trPr>
        <w:tc>
          <w:tcPr>
            <w:tcW w:w="933" w:type="pct"/>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Corporate persons*</w:t>
            </w:r>
          </w:p>
        </w:tc>
        <w:tc>
          <w:tcPr>
            <w:tcW w:w="1006" w:type="pct"/>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c>
          <w:tcPr>
            <w:tcW w:w="0" w:type="auto"/>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c>
          <w:tcPr>
            <w:tcW w:w="0" w:type="auto"/>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c>
          <w:tcPr>
            <w:tcW w:w="0" w:type="auto"/>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c>
          <w:tcPr>
            <w:tcW w:w="0" w:type="auto"/>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r>
      <w:tr w:rsidR="00AD1804" w:rsidRPr="001B3CC9" w:rsidTr="00304A20">
        <w:trPr>
          <w:trHeight w:val="295"/>
          <w:tblCellSpacing w:w="7" w:type="dxa"/>
        </w:trPr>
        <w:tc>
          <w:tcPr>
            <w:tcW w:w="933" w:type="pct"/>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Of which MSMEs</w:t>
            </w:r>
          </w:p>
        </w:tc>
        <w:tc>
          <w:tcPr>
            <w:tcW w:w="1006" w:type="pct"/>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c>
          <w:tcPr>
            <w:tcW w:w="0" w:type="auto"/>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c>
          <w:tcPr>
            <w:tcW w:w="0" w:type="auto"/>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c>
          <w:tcPr>
            <w:tcW w:w="0" w:type="auto"/>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c>
          <w:tcPr>
            <w:tcW w:w="0" w:type="auto"/>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r>
      <w:tr w:rsidR="00AD1804" w:rsidRPr="001B3CC9" w:rsidTr="00304A20">
        <w:trPr>
          <w:trHeight w:val="295"/>
          <w:tblCellSpacing w:w="7" w:type="dxa"/>
        </w:trPr>
        <w:tc>
          <w:tcPr>
            <w:tcW w:w="933" w:type="pct"/>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Others</w:t>
            </w:r>
          </w:p>
        </w:tc>
        <w:tc>
          <w:tcPr>
            <w:tcW w:w="1006" w:type="pct"/>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c>
          <w:tcPr>
            <w:tcW w:w="0" w:type="auto"/>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c>
          <w:tcPr>
            <w:tcW w:w="0" w:type="auto"/>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c>
          <w:tcPr>
            <w:tcW w:w="0" w:type="auto"/>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c>
          <w:tcPr>
            <w:tcW w:w="0" w:type="auto"/>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r>
      <w:tr w:rsidR="00AD1804" w:rsidRPr="001B3CC9" w:rsidTr="00304A20">
        <w:trPr>
          <w:trHeight w:val="295"/>
          <w:tblCellSpacing w:w="7" w:type="dxa"/>
        </w:trPr>
        <w:tc>
          <w:tcPr>
            <w:tcW w:w="933" w:type="pct"/>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Total</w:t>
            </w:r>
          </w:p>
        </w:tc>
        <w:tc>
          <w:tcPr>
            <w:tcW w:w="1006" w:type="pct"/>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c>
          <w:tcPr>
            <w:tcW w:w="0" w:type="auto"/>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c>
          <w:tcPr>
            <w:tcW w:w="0" w:type="auto"/>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c>
          <w:tcPr>
            <w:tcW w:w="0" w:type="auto"/>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c>
          <w:tcPr>
            <w:tcW w:w="0" w:type="auto"/>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w:t>
            </w:r>
          </w:p>
        </w:tc>
      </w:tr>
      <w:tr w:rsidR="00AD1804" w:rsidRPr="001B3CC9" w:rsidTr="00000D4F">
        <w:trPr>
          <w:trHeight w:val="295"/>
          <w:tblCellSpacing w:w="7" w:type="dxa"/>
        </w:trPr>
        <w:tc>
          <w:tcPr>
            <w:tcW w:w="0" w:type="auto"/>
            <w:gridSpan w:val="6"/>
            <w:vAlign w:val="center"/>
            <w:hideMark/>
          </w:tcPr>
          <w:p w:rsidR="00AD1804" w:rsidRPr="001B3CC9" w:rsidRDefault="00AD1804" w:rsidP="00000D4F">
            <w:pPr>
              <w:spacing w:after="0" w:line="240" w:lineRule="auto"/>
              <w:rPr>
                <w:rFonts w:ascii="Calibri" w:eastAsia="Times New Roman" w:hAnsi="Calibri" w:cs="Calibri"/>
                <w:sz w:val="24"/>
                <w:szCs w:val="24"/>
                <w:lang w:val="en-US"/>
              </w:rPr>
            </w:pPr>
            <w:r w:rsidRPr="001B3CC9">
              <w:rPr>
                <w:rFonts w:ascii="Calibri" w:eastAsia="Times New Roman" w:hAnsi="Calibri" w:cs="Calibri"/>
                <w:sz w:val="24"/>
                <w:szCs w:val="24"/>
                <w:lang w:val="en-US"/>
              </w:rPr>
              <w:t>* As defined in Section 3(7) of the Insolvency and Bankruptcy Code, 2016</w:t>
            </w:r>
          </w:p>
        </w:tc>
      </w:tr>
    </w:tbl>
    <w:p w:rsidR="00AD4F71" w:rsidRPr="005973A3" w:rsidRDefault="00AD1804" w:rsidP="005973A3">
      <w:pPr>
        <w:spacing w:before="100" w:beforeAutospacing="1" w:after="100" w:afterAutospacing="1" w:line="240" w:lineRule="auto"/>
        <w:rPr>
          <w:rFonts w:eastAsia="Times New Roman" w:cstheme="minorHAnsi"/>
          <w:sz w:val="24"/>
          <w:szCs w:val="24"/>
          <w:lang w:val="en-US"/>
        </w:rPr>
      </w:pPr>
      <w:r w:rsidRPr="001B3CC9">
        <w:rPr>
          <w:rFonts w:eastAsia="Times New Roman" w:cstheme="minorHAnsi"/>
          <w:sz w:val="24"/>
          <w:szCs w:val="24"/>
          <w:lang w:val="en-US"/>
        </w:rPr>
        <w:t xml:space="preserve">Format for disclosures to be made </w:t>
      </w:r>
      <w:r w:rsidRPr="001B3CC9">
        <w:rPr>
          <w:rFonts w:eastAsia="Times New Roman" w:cstheme="minorHAnsi"/>
          <w:b/>
          <w:sz w:val="24"/>
          <w:szCs w:val="24"/>
          <w:lang w:val="en-US"/>
        </w:rPr>
        <w:t>half yearly</w:t>
      </w:r>
      <w:r w:rsidRPr="001B3CC9">
        <w:rPr>
          <w:rFonts w:eastAsia="Times New Roman" w:cstheme="minorHAnsi"/>
          <w:sz w:val="24"/>
          <w:szCs w:val="24"/>
          <w:lang w:val="en-US"/>
        </w:rPr>
        <w:t xml:space="preserve"> starting September 30, 2021</w:t>
      </w:r>
    </w:p>
    <w:sectPr w:rsidR="00AD4F71" w:rsidRPr="005973A3" w:rsidSect="00E47113">
      <w:headerReference w:type="even" r:id="rId7"/>
      <w:headerReference w:type="default" r:id="rId8"/>
      <w:footerReference w:type="even" r:id="rId9"/>
      <w:footerReference w:type="default" r:id="rId10"/>
      <w:headerReference w:type="first" r:id="rId11"/>
      <w:footerReference w:type="first" r:id="rId12"/>
      <w:pgSz w:w="11906" w:h="16838" w:code="9"/>
      <w:pgMar w:top="59" w:right="1286" w:bottom="993" w:left="1350" w:header="706" w:footer="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792" w:rsidRDefault="00A65792" w:rsidP="00255AD2">
      <w:pPr>
        <w:spacing w:after="0" w:line="240" w:lineRule="auto"/>
      </w:pPr>
      <w:r>
        <w:separator/>
      </w:r>
    </w:p>
  </w:endnote>
  <w:endnote w:type="continuationSeparator" w:id="0">
    <w:p w:rsidR="00A65792" w:rsidRDefault="00A65792" w:rsidP="00255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2A7" w:rsidRDefault="00A65792">
    <w:pPr>
      <w:pStyle w:val="Footer"/>
    </w:pPr>
  </w:p>
  <w:p w:rsidR="00D922A7" w:rsidRDefault="00A6579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70024"/>
      <w:docPartObj>
        <w:docPartGallery w:val="Page Numbers (Bottom of Page)"/>
        <w:docPartUnique/>
      </w:docPartObj>
    </w:sdtPr>
    <w:sdtEndPr/>
    <w:sdtContent>
      <w:sdt>
        <w:sdtPr>
          <w:id w:val="92170025"/>
          <w:docPartObj>
            <w:docPartGallery w:val="Page Numbers (Top of Page)"/>
            <w:docPartUnique/>
          </w:docPartObj>
        </w:sdtPr>
        <w:sdtEndPr/>
        <w:sdtContent>
          <w:p w:rsidR="00D922A7" w:rsidRDefault="008B7A79" w:rsidP="00DF5843">
            <w:pPr>
              <w:pStyle w:val="Footer"/>
              <w:shd w:val="clear" w:color="auto" w:fill="E81818"/>
            </w:pPr>
            <w:r>
              <w:rPr>
                <w:b/>
                <w:noProof/>
                <w:color w:val="FFFFFF" w:themeColor="background1"/>
                <w:sz w:val="18"/>
                <w:szCs w:val="18"/>
                <w:lang w:eastAsia="en-IN"/>
              </w:rPr>
              <mc:AlternateContent>
                <mc:Choice Requires="wps">
                  <w:drawing>
                    <wp:anchor distT="45720" distB="45720" distL="114300" distR="114300" simplePos="0" relativeHeight="251663360" behindDoc="0" locked="0" layoutInCell="1" allowOverlap="1" wp14:anchorId="4DD811A6" wp14:editId="7529F9A6">
                      <wp:simplePos x="0" y="0"/>
                      <wp:positionH relativeFrom="column">
                        <wp:posOffset>3121025</wp:posOffset>
                      </wp:positionH>
                      <wp:positionV relativeFrom="paragraph">
                        <wp:posOffset>-36195</wp:posOffset>
                      </wp:positionV>
                      <wp:extent cx="2486660" cy="49085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490855"/>
                              </a:xfrm>
                              <a:prstGeom prst="rect">
                                <a:avLst/>
                              </a:prstGeom>
                              <a:solidFill>
                                <a:srgbClr val="FFFFFF"/>
                              </a:solidFill>
                              <a:ln w="9525">
                                <a:noFill/>
                                <a:miter lim="800000"/>
                                <a:headEnd/>
                                <a:tailEnd/>
                              </a:ln>
                            </wps:spPr>
                            <wps:txbx>
                              <w:txbxContent>
                                <w:p w:rsidR="00D922A7" w:rsidRPr="005D76F8" w:rsidRDefault="008B7A79" w:rsidP="00702178">
                                  <w:pPr>
                                    <w:spacing w:after="0" w:line="240" w:lineRule="auto"/>
                                    <w:jc w:val="right"/>
                                    <w:rPr>
                                      <w:rFonts w:ascii="Calibri Light" w:hAnsi="Calibri Light" w:cs="Times New Roman"/>
                                      <w:b/>
                                      <w:color w:val="595959"/>
                                      <w:sz w:val="18"/>
                                    </w:rPr>
                                  </w:pPr>
                                  <w:r w:rsidRPr="005D76F8">
                                    <w:rPr>
                                      <w:rFonts w:ascii="Calibri Light" w:hAnsi="Calibri Light" w:cs="Times New Roman"/>
                                      <w:color w:val="595959"/>
                                      <w:sz w:val="18"/>
                                    </w:rPr>
                                    <w:t xml:space="preserve">Document Classification: </w:t>
                                  </w:r>
                                  <w:r w:rsidRPr="005D76F8">
                                    <w:rPr>
                                      <w:rFonts w:ascii="Calibri Light" w:hAnsi="Calibri Light" w:cs="Times New Roman"/>
                                      <w:b/>
                                      <w:color w:val="595959"/>
                                      <w:sz w:val="18"/>
                                    </w:rPr>
                                    <w:t>Confidential</w:t>
                                  </w:r>
                                </w:p>
                                <w:p w:rsidR="00D922A7" w:rsidRPr="005D76F8" w:rsidRDefault="008B7A79" w:rsidP="00702178">
                                  <w:pPr>
                                    <w:spacing w:after="0" w:line="240" w:lineRule="auto"/>
                                    <w:jc w:val="right"/>
                                    <w:rPr>
                                      <w:rFonts w:ascii="Calibri Light" w:hAnsi="Calibri Light" w:cs="Times New Roman"/>
                                      <w:color w:val="595959"/>
                                      <w:sz w:val="18"/>
                                    </w:rPr>
                                  </w:pPr>
                                  <w:r w:rsidRPr="005D76F8">
                                    <w:rPr>
                                      <w:rFonts w:ascii="Calibri Light" w:hAnsi="Calibri Light" w:cs="Times New Roman"/>
                                      <w:b/>
                                      <w:color w:val="595959"/>
                                      <w:sz w:val="18"/>
                                    </w:rPr>
                                    <w:t xml:space="preserve">Version </w:t>
                                  </w:r>
                                  <w:r>
                                    <w:rPr>
                                      <w:rFonts w:ascii="Calibri Light" w:hAnsi="Calibri Light" w:cs="Times New Roman"/>
                                      <w:b/>
                                      <w:color w:val="595959"/>
                                      <w:sz w:val="18"/>
                                    </w:rPr>
                                    <w:t>0.1</w:t>
                                  </w:r>
                                  <w:r w:rsidRPr="005D76F8">
                                    <w:rPr>
                                      <w:rFonts w:ascii="Calibri Light" w:hAnsi="Calibri Light" w:cs="Times New Roman"/>
                                      <w:color w:val="595959"/>
                                      <w:sz w:val="18"/>
                                    </w:rPr>
                                    <w:t xml:space="preserve"> </w:t>
                                  </w:r>
                                </w:p>
                                <w:p w:rsidR="00D922A7" w:rsidRDefault="00A657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811A6" id="_x0000_t202" coordsize="21600,21600" o:spt="202" path="m,l,21600r21600,l21600,xe">
                      <v:stroke joinstyle="miter"/>
                      <v:path gradientshapeok="t" o:connecttype="rect"/>
                    </v:shapetype>
                    <v:shape id="_x0000_s1027" type="#_x0000_t202" style="position:absolute;margin-left:245.75pt;margin-top:-2.85pt;width:195.8pt;height:3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" stroked="f">
                      <v:textbox>
                        <w:txbxContent>
                          <w:p w:rsidR="00D922A7" w:rsidRPr="005D76F8" w:rsidRDefault="008B7A79" w:rsidP="00702178">
                            <w:pPr>
                              <w:spacing w:after="0" w:line="240" w:lineRule="auto"/>
                              <w:jc w:val="right"/>
                              <w:rPr>
                                <w:rFonts w:ascii="Calibri Light" w:hAnsi="Calibri Light" w:cs="Times New Roman"/>
                                <w:b/>
                                <w:color w:val="595959"/>
                                <w:sz w:val="18"/>
                              </w:rPr>
                            </w:pPr>
                            <w:r w:rsidRPr="005D76F8">
                              <w:rPr>
                                <w:rFonts w:ascii="Calibri Light" w:hAnsi="Calibri Light" w:cs="Times New Roman"/>
                                <w:color w:val="595959"/>
                                <w:sz w:val="18"/>
                              </w:rPr>
                              <w:t xml:space="preserve">Document Classification: </w:t>
                            </w:r>
                            <w:r w:rsidRPr="005D76F8">
                              <w:rPr>
                                <w:rFonts w:ascii="Calibri Light" w:hAnsi="Calibri Light" w:cs="Times New Roman"/>
                                <w:b/>
                                <w:color w:val="595959"/>
                                <w:sz w:val="18"/>
                              </w:rPr>
                              <w:t>Confidential</w:t>
                            </w:r>
                          </w:p>
                          <w:p w:rsidR="00D922A7" w:rsidRPr="005D76F8" w:rsidRDefault="008B7A79" w:rsidP="00702178">
                            <w:pPr>
                              <w:spacing w:after="0" w:line="240" w:lineRule="auto"/>
                              <w:jc w:val="right"/>
                              <w:rPr>
                                <w:rFonts w:ascii="Calibri Light" w:hAnsi="Calibri Light" w:cs="Times New Roman"/>
                                <w:color w:val="595959"/>
                                <w:sz w:val="18"/>
                              </w:rPr>
                            </w:pPr>
                            <w:r w:rsidRPr="005D76F8">
                              <w:rPr>
                                <w:rFonts w:ascii="Calibri Light" w:hAnsi="Calibri Light" w:cs="Times New Roman"/>
                                <w:b/>
                                <w:color w:val="595959"/>
                                <w:sz w:val="18"/>
                              </w:rPr>
                              <w:t xml:space="preserve">Version </w:t>
                            </w:r>
                            <w:r>
                              <w:rPr>
                                <w:rFonts w:ascii="Calibri Light" w:hAnsi="Calibri Light" w:cs="Times New Roman"/>
                                <w:b/>
                                <w:color w:val="595959"/>
                                <w:sz w:val="18"/>
                              </w:rPr>
                              <w:t>0.1</w:t>
                            </w:r>
                            <w:r w:rsidRPr="005D76F8">
                              <w:rPr>
                                <w:rFonts w:ascii="Calibri Light" w:hAnsi="Calibri Light" w:cs="Times New Roman"/>
                                <w:color w:val="595959"/>
                                <w:sz w:val="18"/>
                              </w:rPr>
                              <w:t xml:space="preserve"> </w:t>
                            </w:r>
                          </w:p>
                          <w:p w:rsidR="00D922A7" w:rsidRDefault="008B7A79"/>
                        </w:txbxContent>
                      </v:textbox>
                      <w10:wrap type="square"/>
                    </v:shape>
                  </w:pict>
                </mc:Fallback>
              </mc:AlternateContent>
            </w:r>
            <w:r>
              <w:rPr>
                <w:b/>
                <w:noProof/>
                <w:color w:val="FFFFFF" w:themeColor="background1"/>
                <w:lang w:eastAsia="en-IN"/>
              </w:rPr>
              <mc:AlternateContent>
                <mc:Choice Requires="wps">
                  <w:drawing>
                    <wp:anchor distT="0" distB="0" distL="114300" distR="114300" simplePos="0" relativeHeight="251664384" behindDoc="0" locked="0" layoutInCell="1" allowOverlap="1" wp14:anchorId="665B482B" wp14:editId="56EC84FE">
                      <wp:simplePos x="0" y="0"/>
                      <wp:positionH relativeFrom="column">
                        <wp:posOffset>2796540</wp:posOffset>
                      </wp:positionH>
                      <wp:positionV relativeFrom="paragraph">
                        <wp:posOffset>1270</wp:posOffset>
                      </wp:positionV>
                      <wp:extent cx="27305" cy="132080"/>
                      <wp:effectExtent l="0" t="0" r="0" b="1270"/>
                      <wp:wrapNone/>
                      <wp:docPr id="8" name="Rectangle 8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7305" cy="13208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6A491" id="Rectangle 866" o:spid="_x0000_s1026" style="position:absolute;margin-left:220.2pt;margin-top:.1pt;width:2.15pt;height:10.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" fillcolor="yellow" strokecolor="yellow" strokeweight="1pt">
                      <v:path arrowok="t"/>
                    </v:rect>
                  </w:pict>
                </mc:Fallback>
              </mc:AlternateContent>
            </w:r>
            <w:r w:rsidRPr="00DF5843">
              <w:rPr>
                <w:b/>
                <w:color w:val="FFFFFF" w:themeColor="background1"/>
                <w:sz w:val="18"/>
                <w:szCs w:val="18"/>
              </w:rPr>
              <w:t xml:space="preserve">Page </w:t>
            </w:r>
            <w:r w:rsidRPr="00DF5843">
              <w:rPr>
                <w:b/>
                <w:bCs/>
                <w:color w:val="FFFFFF" w:themeColor="background1"/>
                <w:sz w:val="18"/>
                <w:szCs w:val="18"/>
              </w:rPr>
              <w:fldChar w:fldCharType="begin"/>
            </w:r>
            <w:r w:rsidRPr="00DF5843">
              <w:rPr>
                <w:b/>
                <w:bCs/>
                <w:color w:val="FFFFFF" w:themeColor="background1"/>
                <w:sz w:val="18"/>
                <w:szCs w:val="18"/>
              </w:rPr>
              <w:instrText xml:space="preserve"> PAGE </w:instrText>
            </w:r>
            <w:r w:rsidRPr="00DF5843">
              <w:rPr>
                <w:b/>
                <w:bCs/>
                <w:color w:val="FFFFFF" w:themeColor="background1"/>
                <w:sz w:val="18"/>
                <w:szCs w:val="18"/>
              </w:rPr>
              <w:fldChar w:fldCharType="separate"/>
            </w:r>
            <w:r w:rsidR="00016641">
              <w:rPr>
                <w:b/>
                <w:bCs/>
                <w:noProof/>
                <w:color w:val="FFFFFF" w:themeColor="background1"/>
                <w:sz w:val="18"/>
                <w:szCs w:val="18"/>
              </w:rPr>
              <w:t>1</w:t>
            </w:r>
            <w:r w:rsidRPr="00DF5843">
              <w:rPr>
                <w:b/>
                <w:bCs/>
                <w:color w:val="FFFFFF" w:themeColor="background1"/>
                <w:sz w:val="18"/>
                <w:szCs w:val="18"/>
              </w:rPr>
              <w:fldChar w:fldCharType="end"/>
            </w:r>
            <w:r w:rsidRPr="00DF5843">
              <w:rPr>
                <w:b/>
                <w:color w:val="FFFFFF" w:themeColor="background1"/>
                <w:sz w:val="18"/>
                <w:szCs w:val="18"/>
              </w:rPr>
              <w:t xml:space="preserve"> of </w:t>
            </w:r>
            <w:r w:rsidRPr="00DF5843">
              <w:rPr>
                <w:b/>
                <w:bCs/>
                <w:color w:val="FFFFFF" w:themeColor="background1"/>
                <w:sz w:val="18"/>
                <w:szCs w:val="18"/>
              </w:rPr>
              <w:fldChar w:fldCharType="begin"/>
            </w:r>
            <w:r w:rsidRPr="00DF5843">
              <w:rPr>
                <w:b/>
                <w:bCs/>
                <w:color w:val="FFFFFF" w:themeColor="background1"/>
                <w:sz w:val="18"/>
                <w:szCs w:val="18"/>
              </w:rPr>
              <w:instrText xml:space="preserve"> NUMPAGES  </w:instrText>
            </w:r>
            <w:r w:rsidRPr="00DF5843">
              <w:rPr>
                <w:b/>
                <w:bCs/>
                <w:color w:val="FFFFFF" w:themeColor="background1"/>
                <w:sz w:val="18"/>
                <w:szCs w:val="18"/>
              </w:rPr>
              <w:fldChar w:fldCharType="separate"/>
            </w:r>
            <w:r w:rsidR="00016641">
              <w:rPr>
                <w:b/>
                <w:bCs/>
                <w:noProof/>
                <w:color w:val="FFFFFF" w:themeColor="background1"/>
                <w:sz w:val="18"/>
                <w:szCs w:val="18"/>
              </w:rPr>
              <w:t>9</w:t>
            </w:r>
            <w:r w:rsidRPr="00DF5843">
              <w:rPr>
                <w:b/>
                <w:bCs/>
                <w:color w:val="FFFFFF" w:themeColor="background1"/>
                <w:sz w:val="18"/>
                <w:szCs w:val="18"/>
              </w:rPr>
              <w:fldChar w:fldCharType="end"/>
            </w:r>
          </w:p>
        </w:sdtContent>
      </w:sdt>
    </w:sdtContent>
  </w:sdt>
  <w:p w:rsidR="00D922A7" w:rsidRDefault="00A65792">
    <w:pPr>
      <w:pStyle w:val="Footer"/>
    </w:pPr>
  </w:p>
  <w:p w:rsidR="00D922A7" w:rsidRDefault="00A6579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70026"/>
      <w:docPartObj>
        <w:docPartGallery w:val="Page Numbers (Bottom of Page)"/>
        <w:docPartUnique/>
      </w:docPartObj>
    </w:sdtPr>
    <w:sdtEndPr/>
    <w:sdtContent>
      <w:sdt>
        <w:sdtPr>
          <w:id w:val="92170027"/>
          <w:docPartObj>
            <w:docPartGallery w:val="Page Numbers (Top of Page)"/>
            <w:docPartUnique/>
          </w:docPartObj>
        </w:sdtPr>
        <w:sdtEndPr/>
        <w:sdtContent>
          <w:p w:rsidR="00D922A7" w:rsidRDefault="008B7A79" w:rsidP="00622175">
            <w:pPr>
              <w:pStyle w:val="Footer"/>
              <w:shd w:val="clear" w:color="auto" w:fill="C00000"/>
            </w:pPr>
            <w:r>
              <w:rPr>
                <w:noProof/>
                <w:sz w:val="16"/>
                <w:szCs w:val="16"/>
                <w:lang w:eastAsia="en-IN"/>
              </w:rPr>
              <mc:AlternateContent>
                <mc:Choice Requires="wps">
                  <w:drawing>
                    <wp:anchor distT="45720" distB="45720" distL="114300" distR="114300" simplePos="0" relativeHeight="251662336" behindDoc="0" locked="0" layoutInCell="1" allowOverlap="1" wp14:anchorId="7902FC59" wp14:editId="0297E862">
                      <wp:simplePos x="0" y="0"/>
                      <wp:positionH relativeFrom="column">
                        <wp:posOffset>3254375</wp:posOffset>
                      </wp:positionH>
                      <wp:positionV relativeFrom="paragraph">
                        <wp:posOffset>-43815</wp:posOffset>
                      </wp:positionV>
                      <wp:extent cx="2486660" cy="49085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490855"/>
                              </a:xfrm>
                              <a:prstGeom prst="rect">
                                <a:avLst/>
                              </a:prstGeom>
                              <a:solidFill>
                                <a:srgbClr val="FFFFFF"/>
                              </a:solidFill>
                              <a:ln w="9525">
                                <a:noFill/>
                                <a:miter lim="800000"/>
                                <a:headEnd/>
                                <a:tailEnd/>
                              </a:ln>
                            </wps:spPr>
                            <wps:txbx>
                              <w:txbxContent>
                                <w:p w:rsidR="00D922A7" w:rsidRPr="005D76F8" w:rsidRDefault="008B7A79" w:rsidP="00622175">
                                  <w:pPr>
                                    <w:spacing w:after="0" w:line="240" w:lineRule="auto"/>
                                    <w:jc w:val="right"/>
                                    <w:rPr>
                                      <w:rFonts w:ascii="Calibri Light" w:hAnsi="Calibri Light" w:cs="Times New Roman"/>
                                      <w:b/>
                                      <w:color w:val="595959"/>
                                      <w:sz w:val="18"/>
                                    </w:rPr>
                                  </w:pPr>
                                  <w:r w:rsidRPr="005D76F8">
                                    <w:rPr>
                                      <w:rFonts w:ascii="Calibri Light" w:hAnsi="Calibri Light" w:cs="Times New Roman"/>
                                      <w:color w:val="595959"/>
                                      <w:sz w:val="18"/>
                                    </w:rPr>
                                    <w:t xml:space="preserve">Document Classification: </w:t>
                                  </w:r>
                                  <w:r w:rsidRPr="005D76F8">
                                    <w:rPr>
                                      <w:rFonts w:ascii="Calibri Light" w:hAnsi="Calibri Light" w:cs="Times New Roman"/>
                                      <w:b/>
                                      <w:color w:val="595959"/>
                                      <w:sz w:val="18"/>
                                    </w:rPr>
                                    <w:t>Confidential</w:t>
                                  </w:r>
                                </w:p>
                                <w:p w:rsidR="00D922A7" w:rsidRPr="005D76F8" w:rsidRDefault="008B7A79" w:rsidP="00622175">
                                  <w:pPr>
                                    <w:spacing w:after="0" w:line="240" w:lineRule="auto"/>
                                    <w:jc w:val="right"/>
                                    <w:rPr>
                                      <w:rFonts w:ascii="Calibri Light" w:hAnsi="Calibri Light" w:cs="Times New Roman"/>
                                      <w:color w:val="595959"/>
                                      <w:sz w:val="18"/>
                                    </w:rPr>
                                  </w:pPr>
                                  <w:r w:rsidRPr="005D76F8">
                                    <w:rPr>
                                      <w:rFonts w:ascii="Calibri Light" w:hAnsi="Calibri Light" w:cs="Times New Roman"/>
                                      <w:b/>
                                      <w:color w:val="595959"/>
                                      <w:sz w:val="18"/>
                                    </w:rPr>
                                    <w:t xml:space="preserve">Version </w:t>
                                  </w:r>
                                  <w:r>
                                    <w:rPr>
                                      <w:rFonts w:ascii="Calibri Light" w:hAnsi="Calibri Light" w:cs="Times New Roman"/>
                                      <w:b/>
                                      <w:color w:val="595959"/>
                                      <w:sz w:val="18"/>
                                    </w:rPr>
                                    <w:t>2</w:t>
                                  </w:r>
                                  <w:r w:rsidRPr="005D76F8">
                                    <w:rPr>
                                      <w:rFonts w:ascii="Calibri Light" w:hAnsi="Calibri Light" w:cs="Times New Roman"/>
                                      <w:b/>
                                      <w:color w:val="595959"/>
                                      <w:sz w:val="18"/>
                                    </w:rPr>
                                    <w:t>.0</w:t>
                                  </w:r>
                                  <w:r w:rsidRPr="005D76F8">
                                    <w:rPr>
                                      <w:rFonts w:ascii="Calibri Light" w:hAnsi="Calibri Light" w:cs="Times New Roman"/>
                                      <w:color w:val="595959"/>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2FC59" id="_x0000_t202" coordsize="21600,21600" o:spt="202" path="m,l,21600r21600,l21600,xe">
                      <v:stroke joinstyle="miter"/>
                      <v:path gradientshapeok="t" o:connecttype="rect"/>
                    </v:shapetype>
                    <v:shape id="_x0000_s1028" type="#_x0000_t202" style="position:absolute;margin-left:256.25pt;margin-top:-3.45pt;width:195.8pt;height:38.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" stroked="f">
                      <v:textbox>
                        <w:txbxContent>
                          <w:p w:rsidR="00D922A7" w:rsidRPr="005D76F8" w:rsidRDefault="008B7A79" w:rsidP="00622175">
                            <w:pPr>
                              <w:spacing w:after="0" w:line="240" w:lineRule="auto"/>
                              <w:jc w:val="right"/>
                              <w:rPr>
                                <w:rFonts w:ascii="Calibri Light" w:hAnsi="Calibri Light" w:cs="Times New Roman"/>
                                <w:b/>
                                <w:color w:val="595959"/>
                                <w:sz w:val="18"/>
                              </w:rPr>
                            </w:pPr>
                            <w:r w:rsidRPr="005D76F8">
                              <w:rPr>
                                <w:rFonts w:ascii="Calibri Light" w:hAnsi="Calibri Light" w:cs="Times New Roman"/>
                                <w:color w:val="595959"/>
                                <w:sz w:val="18"/>
                              </w:rPr>
                              <w:t xml:space="preserve">Document Classification: </w:t>
                            </w:r>
                            <w:r w:rsidRPr="005D76F8">
                              <w:rPr>
                                <w:rFonts w:ascii="Calibri Light" w:hAnsi="Calibri Light" w:cs="Times New Roman"/>
                                <w:b/>
                                <w:color w:val="595959"/>
                                <w:sz w:val="18"/>
                              </w:rPr>
                              <w:t>Confidential</w:t>
                            </w:r>
                          </w:p>
                          <w:p w:rsidR="00D922A7" w:rsidRPr="005D76F8" w:rsidRDefault="008B7A79" w:rsidP="00622175">
                            <w:pPr>
                              <w:spacing w:after="0" w:line="240" w:lineRule="auto"/>
                              <w:jc w:val="right"/>
                              <w:rPr>
                                <w:rFonts w:ascii="Calibri Light" w:hAnsi="Calibri Light" w:cs="Times New Roman"/>
                                <w:color w:val="595959"/>
                                <w:sz w:val="18"/>
                              </w:rPr>
                            </w:pPr>
                            <w:r w:rsidRPr="005D76F8">
                              <w:rPr>
                                <w:rFonts w:ascii="Calibri Light" w:hAnsi="Calibri Light" w:cs="Times New Roman"/>
                                <w:b/>
                                <w:color w:val="595959"/>
                                <w:sz w:val="18"/>
                              </w:rPr>
                              <w:t xml:space="preserve">Version </w:t>
                            </w:r>
                            <w:r>
                              <w:rPr>
                                <w:rFonts w:ascii="Calibri Light" w:hAnsi="Calibri Light" w:cs="Times New Roman"/>
                                <w:b/>
                                <w:color w:val="595959"/>
                                <w:sz w:val="18"/>
                              </w:rPr>
                              <w:t>2</w:t>
                            </w:r>
                            <w:r w:rsidRPr="005D76F8">
                              <w:rPr>
                                <w:rFonts w:ascii="Calibri Light" w:hAnsi="Calibri Light" w:cs="Times New Roman"/>
                                <w:b/>
                                <w:color w:val="595959"/>
                                <w:sz w:val="18"/>
                              </w:rPr>
                              <w:t>.0</w:t>
                            </w:r>
                            <w:r w:rsidRPr="005D76F8">
                              <w:rPr>
                                <w:rFonts w:ascii="Calibri Light" w:hAnsi="Calibri Light" w:cs="Times New Roman"/>
                                <w:color w:val="595959"/>
                                <w:sz w:val="18"/>
                              </w:rPr>
                              <w:t xml:space="preserve"> </w:t>
                            </w:r>
                          </w:p>
                        </w:txbxContent>
                      </v:textbox>
                      <w10:wrap type="square"/>
                    </v:shape>
                  </w:pict>
                </mc:Fallback>
              </mc:AlternateContent>
            </w:r>
            <w:r>
              <w:rPr>
                <w:noProof/>
                <w:sz w:val="16"/>
                <w:szCs w:val="16"/>
                <w:lang w:eastAsia="en-IN"/>
              </w:rPr>
              <mc:AlternateContent>
                <mc:Choice Requires="wps">
                  <w:drawing>
                    <wp:anchor distT="0" distB="0" distL="114300" distR="114300" simplePos="0" relativeHeight="251661312" behindDoc="0" locked="0" layoutInCell="1" allowOverlap="1" wp14:anchorId="18BAA96E" wp14:editId="4C02B2C9">
                      <wp:simplePos x="0" y="0"/>
                      <wp:positionH relativeFrom="column">
                        <wp:posOffset>2796540</wp:posOffset>
                      </wp:positionH>
                      <wp:positionV relativeFrom="paragraph">
                        <wp:posOffset>12700</wp:posOffset>
                      </wp:positionV>
                      <wp:extent cx="27305" cy="132080"/>
                      <wp:effectExtent l="0" t="0" r="0" b="1270"/>
                      <wp:wrapNone/>
                      <wp:docPr id="5" name="Rectangle 8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7305" cy="13208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D3F96" id="Rectangle 866" o:spid="_x0000_s1026" style="position:absolute;margin-left:220.2pt;margin-top:1pt;width:2.15pt;height:10.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" fillcolor="yellow" strokecolor="yellow" strokeweight="1pt">
                      <v:path arrowok="t"/>
                    </v:rect>
                  </w:pict>
                </mc:Fallback>
              </mc:AlternateContent>
            </w:r>
            <w:r w:rsidRPr="00091DA4">
              <w:rPr>
                <w:sz w:val="18"/>
                <w:szCs w:val="18"/>
              </w:rPr>
              <w:t xml:space="preserve">Page </w:t>
            </w:r>
            <w:r w:rsidRPr="00091DA4">
              <w:rPr>
                <w:b/>
                <w:sz w:val="18"/>
                <w:szCs w:val="18"/>
              </w:rPr>
              <w:fldChar w:fldCharType="begin"/>
            </w:r>
            <w:r w:rsidRPr="00091DA4">
              <w:rPr>
                <w:b/>
                <w:sz w:val="18"/>
                <w:szCs w:val="18"/>
              </w:rPr>
              <w:instrText xml:space="preserve"> PAGE </w:instrText>
            </w:r>
            <w:r w:rsidRPr="00091DA4">
              <w:rPr>
                <w:b/>
                <w:sz w:val="18"/>
                <w:szCs w:val="18"/>
              </w:rPr>
              <w:fldChar w:fldCharType="separate"/>
            </w:r>
            <w:r>
              <w:rPr>
                <w:b/>
                <w:noProof/>
                <w:sz w:val="18"/>
                <w:szCs w:val="18"/>
              </w:rPr>
              <w:t>1</w:t>
            </w:r>
            <w:r w:rsidRPr="00091DA4">
              <w:rPr>
                <w:b/>
                <w:sz w:val="18"/>
                <w:szCs w:val="18"/>
              </w:rPr>
              <w:fldChar w:fldCharType="end"/>
            </w:r>
            <w:r w:rsidRPr="00091DA4">
              <w:rPr>
                <w:sz w:val="18"/>
                <w:szCs w:val="18"/>
              </w:rPr>
              <w:t xml:space="preserve"> of </w:t>
            </w:r>
            <w:r w:rsidRPr="00091DA4">
              <w:rPr>
                <w:b/>
                <w:sz w:val="18"/>
                <w:szCs w:val="18"/>
              </w:rPr>
              <w:fldChar w:fldCharType="begin"/>
            </w:r>
            <w:r w:rsidRPr="00091DA4">
              <w:rPr>
                <w:b/>
                <w:sz w:val="18"/>
                <w:szCs w:val="18"/>
              </w:rPr>
              <w:instrText xml:space="preserve"> NUMPAGES  </w:instrText>
            </w:r>
            <w:r w:rsidRPr="00091DA4">
              <w:rPr>
                <w:b/>
                <w:sz w:val="18"/>
                <w:szCs w:val="18"/>
              </w:rPr>
              <w:fldChar w:fldCharType="separate"/>
            </w:r>
            <w:r w:rsidR="00DA06B4">
              <w:rPr>
                <w:b/>
                <w:noProof/>
                <w:sz w:val="18"/>
                <w:szCs w:val="18"/>
              </w:rPr>
              <w:t>9</w:t>
            </w:r>
            <w:r w:rsidRPr="00091DA4">
              <w:rPr>
                <w:b/>
                <w:sz w:val="18"/>
                <w:szCs w:val="18"/>
              </w:rPr>
              <w:fldChar w:fldCharType="end"/>
            </w:r>
          </w:p>
        </w:sdtContent>
      </w:sdt>
    </w:sdtContent>
  </w:sdt>
  <w:p w:rsidR="00D922A7" w:rsidRPr="005D76F8" w:rsidRDefault="008B7A79" w:rsidP="00622175">
    <w:pPr>
      <w:spacing w:after="0" w:line="240" w:lineRule="auto"/>
      <w:jc w:val="right"/>
      <w:rPr>
        <w:rFonts w:ascii="Calibri Light" w:hAnsi="Calibri Light" w:cs="Times New Roman"/>
        <w:b/>
        <w:color w:val="595959"/>
        <w:sz w:val="18"/>
      </w:rPr>
    </w:pPr>
    <w:r w:rsidRPr="005D76F8">
      <w:rPr>
        <w:rFonts w:ascii="Calibri Light" w:hAnsi="Calibri Light" w:cs="Times New Roman"/>
        <w:color w:val="595959"/>
        <w:sz w:val="18"/>
      </w:rPr>
      <w:t xml:space="preserve"> Document Classification: </w:t>
    </w:r>
    <w:r w:rsidRPr="005D76F8">
      <w:rPr>
        <w:rFonts w:ascii="Calibri Light" w:hAnsi="Calibri Light" w:cs="Times New Roman"/>
        <w:b/>
        <w:color w:val="595959"/>
        <w:sz w:val="18"/>
      </w:rPr>
      <w:t>Confidential</w:t>
    </w:r>
  </w:p>
  <w:p w:rsidR="00D922A7" w:rsidRPr="005D76F8" w:rsidRDefault="008B7A79" w:rsidP="00622175">
    <w:pPr>
      <w:spacing w:after="0" w:line="240" w:lineRule="auto"/>
      <w:jc w:val="right"/>
      <w:rPr>
        <w:rFonts w:ascii="Calibri Light" w:hAnsi="Calibri Light" w:cs="Times New Roman"/>
        <w:color w:val="595959"/>
        <w:sz w:val="18"/>
      </w:rPr>
    </w:pPr>
    <w:r w:rsidRPr="005D76F8">
      <w:rPr>
        <w:rFonts w:ascii="Calibri Light" w:hAnsi="Calibri Light" w:cs="Times New Roman"/>
        <w:b/>
        <w:color w:val="595959"/>
        <w:sz w:val="18"/>
      </w:rPr>
      <w:t xml:space="preserve">Version </w:t>
    </w:r>
    <w:r>
      <w:rPr>
        <w:rFonts w:ascii="Calibri Light" w:hAnsi="Calibri Light" w:cs="Times New Roman"/>
        <w:b/>
        <w:color w:val="595959"/>
        <w:sz w:val="18"/>
      </w:rPr>
      <w:t>3</w:t>
    </w:r>
    <w:r w:rsidRPr="005D76F8">
      <w:rPr>
        <w:rFonts w:ascii="Calibri Light" w:hAnsi="Calibri Light" w:cs="Times New Roman"/>
        <w:b/>
        <w:color w:val="595959"/>
        <w:sz w:val="18"/>
      </w:rPr>
      <w:t>.0</w:t>
    </w:r>
    <w:r w:rsidRPr="005D76F8">
      <w:rPr>
        <w:rFonts w:ascii="Calibri Light" w:hAnsi="Calibri Light" w:cs="Times New Roman"/>
        <w:color w:val="595959"/>
        <w:sz w:val="18"/>
      </w:rPr>
      <w:t xml:space="preserve"> </w:t>
    </w:r>
  </w:p>
  <w:p w:rsidR="00D922A7" w:rsidRDefault="00A65792">
    <w:pPr>
      <w:pStyle w:val="Footer"/>
    </w:pPr>
  </w:p>
  <w:p w:rsidR="00D922A7" w:rsidRDefault="00A657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792" w:rsidRDefault="00A65792" w:rsidP="00255AD2">
      <w:pPr>
        <w:spacing w:after="0" w:line="240" w:lineRule="auto"/>
      </w:pPr>
      <w:r>
        <w:separator/>
      </w:r>
    </w:p>
  </w:footnote>
  <w:footnote w:type="continuationSeparator" w:id="0">
    <w:p w:rsidR="00A65792" w:rsidRDefault="00A65792" w:rsidP="00255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2A7" w:rsidRDefault="00A65792">
    <w:pPr>
      <w:pStyle w:val="Header"/>
    </w:pPr>
  </w:p>
  <w:p w:rsidR="00D922A7" w:rsidRDefault="00A6579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2A7" w:rsidRDefault="008B7A79" w:rsidP="00255AD2">
    <w:pPr>
      <w:spacing w:after="0" w:line="240" w:lineRule="auto"/>
    </w:pPr>
    <w:r>
      <w:rPr>
        <w:noProof/>
        <w:lang w:eastAsia="en-IN"/>
      </w:rPr>
      <mc:AlternateContent>
        <mc:Choice Requires="wps">
          <w:drawing>
            <wp:anchor distT="45720" distB="45720" distL="114300" distR="114300" simplePos="0" relativeHeight="251665408" behindDoc="0" locked="0" layoutInCell="1" allowOverlap="1" wp14:anchorId="3B9B0004" wp14:editId="445C7850">
              <wp:simplePos x="0" y="0"/>
              <wp:positionH relativeFrom="column">
                <wp:posOffset>1600200</wp:posOffset>
              </wp:positionH>
              <wp:positionV relativeFrom="paragraph">
                <wp:posOffset>-229235</wp:posOffset>
              </wp:positionV>
              <wp:extent cx="4343400" cy="409575"/>
              <wp:effectExtent l="0" t="0" r="0"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09575"/>
                      </a:xfrm>
                      <a:prstGeom prst="rect">
                        <a:avLst/>
                      </a:prstGeom>
                      <a:solidFill>
                        <a:srgbClr val="FFFFFF"/>
                      </a:solidFill>
                      <a:ln w="9525">
                        <a:noFill/>
                        <a:miter lim="800000"/>
                        <a:headEnd/>
                        <a:tailEnd/>
                      </a:ln>
                    </wps:spPr>
                    <wps:txbx>
                      <w:txbxContent>
                        <w:p w:rsidR="00D922A7" w:rsidRPr="005D76F8" w:rsidRDefault="008B7A79" w:rsidP="00702178">
                          <w:pPr>
                            <w:spacing w:after="0" w:line="240" w:lineRule="auto"/>
                            <w:jc w:val="right"/>
                            <w:rPr>
                              <w:rFonts w:ascii="Calibri" w:hAnsi="Calibri" w:cs="Times New Roman"/>
                              <w:b/>
                              <w:color w:val="595959"/>
                              <w:sz w:val="18"/>
                            </w:rPr>
                          </w:pPr>
                          <w:r w:rsidRPr="005D76F8">
                            <w:rPr>
                              <w:rFonts w:ascii="Calibri" w:hAnsi="Calibri" w:cs="Times New Roman"/>
                              <w:b/>
                              <w:color w:val="595959"/>
                              <w:sz w:val="18"/>
                            </w:rPr>
                            <w:t xml:space="preserve">Manappuram Finance Limited </w:t>
                          </w:r>
                        </w:p>
                        <w:p w:rsidR="00D922A7" w:rsidRPr="005D76F8" w:rsidRDefault="008B7A79" w:rsidP="00255AD2">
                          <w:pPr>
                            <w:spacing w:after="0"/>
                            <w:jc w:val="right"/>
                            <w:rPr>
                              <w:rFonts w:ascii="Calibri" w:hAnsi="Calibri" w:cs="Times New Roman"/>
                              <w:b/>
                              <w:color w:val="595959"/>
                              <w:sz w:val="18"/>
                            </w:rPr>
                          </w:pPr>
                          <w:r>
                            <w:rPr>
                              <w:rFonts w:ascii="Calibri" w:hAnsi="Calibri" w:cs="Times New Roman"/>
                              <w:b/>
                              <w:color w:val="595959"/>
                              <w:sz w:val="18"/>
                            </w:rPr>
                            <w:t>Resolution Framework for Covid-19 Related Stress-</w:t>
                          </w:r>
                          <w:r w:rsidR="00255AD2">
                            <w:rPr>
                              <w:rFonts w:ascii="Calibri" w:hAnsi="Calibri" w:cs="Times New Roman"/>
                              <w:b/>
                              <w:color w:val="595959"/>
                              <w:sz w:val="18"/>
                            </w:rPr>
                            <w:t>Individuals &amp; Small Businesses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B0004" id="_x0000_t202" coordsize="21600,21600" o:spt="202" path="m,l,21600r21600,l21600,xe">
              <v:stroke joinstyle="miter"/>
              <v:path gradientshapeok="t" o:connecttype="rect"/>
            </v:shapetype>
            <v:shape id="Text Box 2" o:spid="_x0000_s1026" type="#_x0000_t202" style="position:absolute;margin-left:126pt;margin-top:-18.05pt;width:342pt;height:3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" stroked="f">
              <v:textbox>
                <w:txbxContent>
                  <w:p w:rsidR="00D922A7" w:rsidRPr="005D76F8" w:rsidRDefault="008B7A79" w:rsidP="00702178">
                    <w:pPr>
                      <w:spacing w:after="0" w:line="240" w:lineRule="auto"/>
                      <w:jc w:val="right"/>
                      <w:rPr>
                        <w:rFonts w:ascii="Calibri" w:hAnsi="Calibri" w:cs="Times New Roman"/>
                        <w:b/>
                        <w:color w:val="595959"/>
                        <w:sz w:val="18"/>
                      </w:rPr>
                    </w:pPr>
                    <w:proofErr w:type="spellStart"/>
                    <w:r w:rsidRPr="005D76F8">
                      <w:rPr>
                        <w:rFonts w:ascii="Calibri" w:hAnsi="Calibri" w:cs="Times New Roman"/>
                        <w:b/>
                        <w:color w:val="595959"/>
                        <w:sz w:val="18"/>
                      </w:rPr>
                      <w:t>Manappuram</w:t>
                    </w:r>
                    <w:proofErr w:type="spellEnd"/>
                    <w:r w:rsidRPr="005D76F8">
                      <w:rPr>
                        <w:rFonts w:ascii="Calibri" w:hAnsi="Calibri" w:cs="Times New Roman"/>
                        <w:b/>
                        <w:color w:val="595959"/>
                        <w:sz w:val="18"/>
                      </w:rPr>
                      <w:t xml:space="preserve"> Finance Limited </w:t>
                    </w:r>
                  </w:p>
                  <w:p w:rsidR="00D922A7" w:rsidRPr="005D76F8" w:rsidRDefault="008B7A79" w:rsidP="00255AD2">
                    <w:pPr>
                      <w:spacing w:after="0"/>
                      <w:jc w:val="right"/>
                      <w:rPr>
                        <w:rFonts w:ascii="Calibri" w:hAnsi="Calibri" w:cs="Times New Roman"/>
                        <w:b/>
                        <w:color w:val="595959"/>
                        <w:sz w:val="18"/>
                      </w:rPr>
                    </w:pPr>
                    <w:r>
                      <w:rPr>
                        <w:rFonts w:ascii="Calibri" w:hAnsi="Calibri" w:cs="Times New Roman"/>
                        <w:b/>
                        <w:color w:val="595959"/>
                        <w:sz w:val="18"/>
                      </w:rPr>
                      <w:t>Resolution Framework for Covid-19 Related Stress-</w:t>
                    </w:r>
                    <w:r w:rsidR="00255AD2">
                      <w:rPr>
                        <w:rFonts w:ascii="Calibri" w:hAnsi="Calibri" w:cs="Times New Roman"/>
                        <w:b/>
                        <w:color w:val="595959"/>
                        <w:sz w:val="18"/>
                      </w:rPr>
                      <w:t>Individuals &amp; Small Businesses</w:t>
                    </w:r>
                  </w:p>
                </w:txbxContent>
              </v:textbox>
              <w10:wrap type="square"/>
            </v:shape>
          </w:pict>
        </mc:Fallback>
      </mc:AlternateContent>
    </w:r>
    <w:r>
      <w:rPr>
        <w:noProof/>
        <w:lang w:eastAsia="en-IN"/>
      </w:rPr>
      <w:drawing>
        <wp:anchor distT="0" distB="0" distL="114300" distR="114300" simplePos="0" relativeHeight="251660288" behindDoc="0" locked="0" layoutInCell="1" allowOverlap="1" wp14:anchorId="2A806D41" wp14:editId="1BEC2870">
          <wp:simplePos x="0" y="0"/>
          <wp:positionH relativeFrom="margin">
            <wp:posOffset>-9525</wp:posOffset>
          </wp:positionH>
          <wp:positionV relativeFrom="margin">
            <wp:posOffset>-902970</wp:posOffset>
          </wp:positionV>
          <wp:extent cx="1171575" cy="361950"/>
          <wp:effectExtent l="19050" t="0" r="9525" b="0"/>
          <wp:wrapSquare wrapText="bothSides"/>
          <wp:docPr id="40"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61950"/>
                  </a:xfrm>
                  <a:prstGeom prst="rect">
                    <a:avLst/>
                  </a:prstGeom>
                  <a:noFill/>
                </pic:spPr>
              </pic:pic>
            </a:graphicData>
          </a:graphic>
        </wp:anchor>
      </w:drawing>
    </w:r>
  </w:p>
  <w:p w:rsidR="00D922A7" w:rsidRDefault="00A65792" w:rsidP="00622175">
    <w:pPr>
      <w:spacing w:after="0" w:line="240" w:lineRule="auto"/>
      <w:jc w:val="right"/>
    </w:pPr>
  </w:p>
  <w:tbl>
    <w:tblPr>
      <w:tblStyle w:val="TableGrid"/>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D922A7" w:rsidTr="00DF5843">
      <w:trPr>
        <w:trHeight w:val="80"/>
      </w:trPr>
      <w:tc>
        <w:tcPr>
          <w:tcW w:w="4645" w:type="dxa"/>
          <w:shd w:val="clear" w:color="auto" w:fill="ED1313"/>
        </w:tcPr>
        <w:p w:rsidR="00D922A7" w:rsidRPr="00FD5436" w:rsidRDefault="00A65792" w:rsidP="00DF5843">
          <w:pPr>
            <w:rPr>
              <w:sz w:val="2"/>
              <w:szCs w:val="2"/>
            </w:rPr>
          </w:pPr>
        </w:p>
      </w:tc>
      <w:tc>
        <w:tcPr>
          <w:tcW w:w="4645" w:type="dxa"/>
          <w:shd w:val="clear" w:color="auto" w:fill="FFCF01"/>
        </w:tcPr>
        <w:p w:rsidR="00D922A7" w:rsidRPr="00FD5436" w:rsidRDefault="00A65792" w:rsidP="00DF5843">
          <w:pPr>
            <w:rPr>
              <w:sz w:val="2"/>
              <w:szCs w:val="2"/>
            </w:rPr>
          </w:pPr>
        </w:p>
      </w:tc>
    </w:tr>
  </w:tbl>
  <w:p w:rsidR="00D922A7" w:rsidRDefault="00A6579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2A7" w:rsidRPr="005D76F8" w:rsidRDefault="008B7A79" w:rsidP="00622175">
    <w:pPr>
      <w:spacing w:after="0" w:line="240" w:lineRule="auto"/>
      <w:jc w:val="right"/>
      <w:rPr>
        <w:rFonts w:ascii="Calibri" w:hAnsi="Calibri" w:cs="Times New Roman"/>
        <w:b/>
        <w:color w:val="595959"/>
        <w:sz w:val="18"/>
      </w:rPr>
    </w:pPr>
    <w:r w:rsidRPr="005D76F8">
      <w:rPr>
        <w:rFonts w:ascii="Calibri" w:hAnsi="Calibri" w:cs="Times New Roman"/>
        <w:b/>
        <w:color w:val="595959"/>
        <w:sz w:val="18"/>
      </w:rPr>
      <w:t xml:space="preserve">Manappuram Finance Limited </w:t>
    </w:r>
  </w:p>
  <w:p w:rsidR="00D922A7" w:rsidRPr="005D76F8" w:rsidRDefault="008B7A79" w:rsidP="00622175">
    <w:pPr>
      <w:spacing w:after="0" w:line="240" w:lineRule="auto"/>
      <w:jc w:val="right"/>
      <w:rPr>
        <w:rFonts w:ascii="Calibri" w:hAnsi="Calibri" w:cs="Times New Roman"/>
        <w:b/>
        <w:color w:val="595959"/>
        <w:sz w:val="18"/>
      </w:rPr>
    </w:pPr>
    <w:r w:rsidRPr="00425B33">
      <w:rPr>
        <w:rFonts w:ascii="Calibri" w:hAnsi="Calibri" w:cs="Times New Roman"/>
        <w:b/>
        <w:color w:val="595959"/>
        <w:sz w:val="18"/>
      </w:rPr>
      <w:t>Risk</w:t>
    </w:r>
    <w:r>
      <w:rPr>
        <w:rFonts w:ascii="Calibri" w:hAnsi="Calibri" w:cs="Times New Roman"/>
        <w:b/>
        <w:color w:val="595959"/>
        <w:sz w:val="18"/>
      </w:rPr>
      <w:t xml:space="preserve"> Appetite and Tolerance Policy and</w:t>
    </w:r>
    <w:r w:rsidRPr="00425B33">
      <w:rPr>
        <w:rFonts w:ascii="Calibri" w:hAnsi="Calibri" w:cs="Times New Roman"/>
        <w:b/>
        <w:color w:val="595959"/>
        <w:sz w:val="18"/>
      </w:rPr>
      <w:t xml:space="preserve"> Framework</w:t>
    </w:r>
  </w:p>
  <w:p w:rsidR="00D922A7" w:rsidRDefault="008B7A79" w:rsidP="00622175">
    <w:pPr>
      <w:pStyle w:val="Header"/>
    </w:pPr>
    <w:r w:rsidRPr="00622175">
      <w:rPr>
        <w:noProof/>
        <w:lang w:eastAsia="en-IN"/>
      </w:rPr>
      <w:drawing>
        <wp:anchor distT="0" distB="0" distL="114300" distR="114300" simplePos="0" relativeHeight="251659264" behindDoc="0" locked="0" layoutInCell="1" allowOverlap="1" wp14:anchorId="4AB6E947" wp14:editId="66201CEF">
          <wp:simplePos x="0" y="0"/>
          <wp:positionH relativeFrom="margin">
            <wp:posOffset>-9939</wp:posOffset>
          </wp:positionH>
          <wp:positionV relativeFrom="margin">
            <wp:posOffset>-715617</wp:posOffset>
          </wp:positionV>
          <wp:extent cx="1172817" cy="357808"/>
          <wp:effectExtent l="0" t="0" r="0" b="0"/>
          <wp:wrapSquare wrapText="bothSides"/>
          <wp:docPr id="4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61950"/>
                  </a:xfrm>
                  <a:prstGeom prst="rect">
                    <a:avLst/>
                  </a:prstGeom>
                  <a:noFill/>
                </pic:spPr>
              </pic:pic>
            </a:graphicData>
          </a:graphic>
        </wp:anchor>
      </w:drawing>
    </w:r>
  </w:p>
  <w:p w:rsidR="00D922A7" w:rsidRDefault="00A65792">
    <w:pPr>
      <w:pStyle w:val="Header"/>
    </w:pPr>
  </w:p>
  <w:p w:rsidR="00D922A7" w:rsidRDefault="00A65792">
    <w:pPr>
      <w:pStyle w:val="Header"/>
    </w:pPr>
  </w:p>
  <w:p w:rsidR="00D922A7" w:rsidRDefault="00A6579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5425"/>
    <w:multiLevelType w:val="hybridMultilevel"/>
    <w:tmpl w:val="A1A849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F907DE5"/>
    <w:multiLevelType w:val="hybridMultilevel"/>
    <w:tmpl w:val="22C43D7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0A85869"/>
    <w:multiLevelType w:val="hybridMultilevel"/>
    <w:tmpl w:val="7AAECB96"/>
    <w:lvl w:ilvl="0" w:tplc="4F481038">
      <w:start w:val="1"/>
      <w:numFmt w:val="lowerRoman"/>
      <w:lvlText w:val="%1."/>
      <w:lvlJc w:val="left"/>
      <w:pPr>
        <w:ind w:left="2517" w:hanging="720"/>
      </w:pPr>
      <w:rPr>
        <w:rFonts w:hint="default"/>
      </w:rPr>
    </w:lvl>
    <w:lvl w:ilvl="1" w:tplc="40090019" w:tentative="1">
      <w:start w:val="1"/>
      <w:numFmt w:val="lowerLetter"/>
      <w:lvlText w:val="%2."/>
      <w:lvlJc w:val="left"/>
      <w:pPr>
        <w:ind w:left="2877" w:hanging="360"/>
      </w:pPr>
    </w:lvl>
    <w:lvl w:ilvl="2" w:tplc="4009001B" w:tentative="1">
      <w:start w:val="1"/>
      <w:numFmt w:val="lowerRoman"/>
      <w:lvlText w:val="%3."/>
      <w:lvlJc w:val="right"/>
      <w:pPr>
        <w:ind w:left="3597" w:hanging="180"/>
      </w:pPr>
    </w:lvl>
    <w:lvl w:ilvl="3" w:tplc="4009000F" w:tentative="1">
      <w:start w:val="1"/>
      <w:numFmt w:val="decimal"/>
      <w:lvlText w:val="%4."/>
      <w:lvlJc w:val="left"/>
      <w:pPr>
        <w:ind w:left="4317" w:hanging="360"/>
      </w:pPr>
    </w:lvl>
    <w:lvl w:ilvl="4" w:tplc="40090019" w:tentative="1">
      <w:start w:val="1"/>
      <w:numFmt w:val="lowerLetter"/>
      <w:lvlText w:val="%5."/>
      <w:lvlJc w:val="left"/>
      <w:pPr>
        <w:ind w:left="5037" w:hanging="360"/>
      </w:pPr>
    </w:lvl>
    <w:lvl w:ilvl="5" w:tplc="4009001B" w:tentative="1">
      <w:start w:val="1"/>
      <w:numFmt w:val="lowerRoman"/>
      <w:lvlText w:val="%6."/>
      <w:lvlJc w:val="right"/>
      <w:pPr>
        <w:ind w:left="5757" w:hanging="180"/>
      </w:pPr>
    </w:lvl>
    <w:lvl w:ilvl="6" w:tplc="4009000F" w:tentative="1">
      <w:start w:val="1"/>
      <w:numFmt w:val="decimal"/>
      <w:lvlText w:val="%7."/>
      <w:lvlJc w:val="left"/>
      <w:pPr>
        <w:ind w:left="6477" w:hanging="360"/>
      </w:pPr>
    </w:lvl>
    <w:lvl w:ilvl="7" w:tplc="40090019" w:tentative="1">
      <w:start w:val="1"/>
      <w:numFmt w:val="lowerLetter"/>
      <w:lvlText w:val="%8."/>
      <w:lvlJc w:val="left"/>
      <w:pPr>
        <w:ind w:left="7197" w:hanging="360"/>
      </w:pPr>
    </w:lvl>
    <w:lvl w:ilvl="8" w:tplc="4009001B" w:tentative="1">
      <w:start w:val="1"/>
      <w:numFmt w:val="lowerRoman"/>
      <w:lvlText w:val="%9."/>
      <w:lvlJc w:val="right"/>
      <w:pPr>
        <w:ind w:left="7917" w:hanging="180"/>
      </w:pPr>
    </w:lvl>
  </w:abstractNum>
  <w:abstractNum w:abstractNumId="3" w15:restartNumberingAfterBreak="0">
    <w:nsid w:val="31E446BA"/>
    <w:multiLevelType w:val="hybridMultilevel"/>
    <w:tmpl w:val="0010E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563F9"/>
    <w:multiLevelType w:val="hybridMultilevel"/>
    <w:tmpl w:val="0C464776"/>
    <w:lvl w:ilvl="0" w:tplc="BF0E1F1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409D7BED"/>
    <w:multiLevelType w:val="hybridMultilevel"/>
    <w:tmpl w:val="255699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203315D"/>
    <w:multiLevelType w:val="hybridMultilevel"/>
    <w:tmpl w:val="D5CC989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63B0642"/>
    <w:multiLevelType w:val="multilevel"/>
    <w:tmpl w:val="FCBC652E"/>
    <w:lvl w:ilvl="0">
      <w:start w:val="1"/>
      <w:numFmt w:val="decimal"/>
      <w:lvlText w:val="%1."/>
      <w:lvlJc w:val="left"/>
      <w:pPr>
        <w:ind w:left="990" w:hanging="360"/>
      </w:pPr>
      <w:rPr>
        <w:rFonts w:hint="default"/>
      </w:rPr>
    </w:lvl>
    <w:lvl w:ilvl="1">
      <w:start w:val="3"/>
      <w:numFmt w:val="decimal"/>
      <w:isLgl/>
      <w:lvlText w:val="%1.%2."/>
      <w:lvlJc w:val="left"/>
      <w:pPr>
        <w:ind w:left="1365" w:hanging="735"/>
      </w:pPr>
      <w:rPr>
        <w:rFonts w:hint="default"/>
        <w:b/>
      </w:rPr>
    </w:lvl>
    <w:lvl w:ilvl="2">
      <w:start w:val="3"/>
      <w:numFmt w:val="decimal"/>
      <w:isLgl/>
      <w:lvlText w:val="%1.%2.%3."/>
      <w:lvlJc w:val="left"/>
      <w:pPr>
        <w:ind w:left="1365" w:hanging="735"/>
      </w:pPr>
      <w:rPr>
        <w:rFonts w:hint="default"/>
        <w:b/>
      </w:rPr>
    </w:lvl>
    <w:lvl w:ilvl="3">
      <w:start w:val="1"/>
      <w:numFmt w:val="decimal"/>
      <w:isLgl/>
      <w:lvlText w:val="%1.%2.%3.%4."/>
      <w:lvlJc w:val="left"/>
      <w:pPr>
        <w:ind w:left="1710" w:hanging="1080"/>
      </w:pPr>
      <w:rPr>
        <w:rFonts w:hint="default"/>
        <w:b/>
      </w:rPr>
    </w:lvl>
    <w:lvl w:ilvl="4">
      <w:start w:val="1"/>
      <w:numFmt w:val="decimal"/>
      <w:isLgl/>
      <w:lvlText w:val="%1.%2.%3.%4.%5."/>
      <w:lvlJc w:val="left"/>
      <w:pPr>
        <w:ind w:left="1710" w:hanging="1080"/>
      </w:pPr>
      <w:rPr>
        <w:rFonts w:hint="default"/>
        <w:b/>
      </w:rPr>
    </w:lvl>
    <w:lvl w:ilvl="5">
      <w:start w:val="1"/>
      <w:numFmt w:val="decimal"/>
      <w:isLgl/>
      <w:lvlText w:val="%1.%2.%3.%4.%5.%6."/>
      <w:lvlJc w:val="left"/>
      <w:pPr>
        <w:ind w:left="2070" w:hanging="1440"/>
      </w:pPr>
      <w:rPr>
        <w:rFonts w:hint="default"/>
        <w:b/>
      </w:rPr>
    </w:lvl>
    <w:lvl w:ilvl="6">
      <w:start w:val="1"/>
      <w:numFmt w:val="decimal"/>
      <w:isLgl/>
      <w:lvlText w:val="%1.%2.%3.%4.%5.%6.%7."/>
      <w:lvlJc w:val="left"/>
      <w:pPr>
        <w:ind w:left="2070" w:hanging="1440"/>
      </w:pPr>
      <w:rPr>
        <w:rFonts w:hint="default"/>
        <w:b/>
      </w:rPr>
    </w:lvl>
    <w:lvl w:ilvl="7">
      <w:start w:val="1"/>
      <w:numFmt w:val="decimal"/>
      <w:isLgl/>
      <w:lvlText w:val="%1.%2.%3.%4.%5.%6.%7.%8."/>
      <w:lvlJc w:val="left"/>
      <w:pPr>
        <w:ind w:left="2430" w:hanging="1800"/>
      </w:pPr>
      <w:rPr>
        <w:rFonts w:hint="default"/>
        <w:b/>
      </w:rPr>
    </w:lvl>
    <w:lvl w:ilvl="8">
      <w:start w:val="1"/>
      <w:numFmt w:val="decimal"/>
      <w:isLgl/>
      <w:lvlText w:val="%1.%2.%3.%4.%5.%6.%7.%8.%9."/>
      <w:lvlJc w:val="left"/>
      <w:pPr>
        <w:ind w:left="2790" w:hanging="2160"/>
      </w:pPr>
      <w:rPr>
        <w:rFonts w:hint="default"/>
        <w:b/>
      </w:rPr>
    </w:lvl>
  </w:abstractNum>
  <w:abstractNum w:abstractNumId="8" w15:restartNumberingAfterBreak="0">
    <w:nsid w:val="4A8F045C"/>
    <w:multiLevelType w:val="hybridMultilevel"/>
    <w:tmpl w:val="ECD4455A"/>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619C61FB"/>
    <w:multiLevelType w:val="multilevel"/>
    <w:tmpl w:val="1A2C48C2"/>
    <w:lvl w:ilvl="0">
      <w:start w:val="1"/>
      <w:numFmt w:val="upperLetter"/>
      <w:pStyle w:val="Heading1"/>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DFB72EE"/>
    <w:multiLevelType w:val="hybridMultilevel"/>
    <w:tmpl w:val="EB1ADB60"/>
    <w:lvl w:ilvl="0" w:tplc="69EE6D7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52E456E"/>
    <w:multiLevelType w:val="hybridMultilevel"/>
    <w:tmpl w:val="68E6CF5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7"/>
  </w:num>
  <w:num w:numId="3">
    <w:abstractNumId w:val="11"/>
  </w:num>
  <w:num w:numId="4">
    <w:abstractNumId w:val="8"/>
  </w:num>
  <w:num w:numId="5">
    <w:abstractNumId w:val="1"/>
  </w:num>
  <w:num w:numId="6">
    <w:abstractNumId w:val="10"/>
  </w:num>
  <w:num w:numId="7">
    <w:abstractNumId w:val="2"/>
  </w:num>
  <w:num w:numId="8">
    <w:abstractNumId w:val="5"/>
  </w:num>
  <w:num w:numId="9">
    <w:abstractNumId w:val="3"/>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04"/>
    <w:rsid w:val="000007A5"/>
    <w:rsid w:val="00007B4B"/>
    <w:rsid w:val="00014122"/>
    <w:rsid w:val="0001535E"/>
    <w:rsid w:val="00016641"/>
    <w:rsid w:val="00026905"/>
    <w:rsid w:val="00035445"/>
    <w:rsid w:val="000404CD"/>
    <w:rsid w:val="00060ACA"/>
    <w:rsid w:val="00075EF6"/>
    <w:rsid w:val="000807F8"/>
    <w:rsid w:val="000D02C7"/>
    <w:rsid w:val="000F5823"/>
    <w:rsid w:val="00196B2C"/>
    <w:rsid w:val="001A0154"/>
    <w:rsid w:val="001B1088"/>
    <w:rsid w:val="001B3CC9"/>
    <w:rsid w:val="001F2084"/>
    <w:rsid w:val="001F3531"/>
    <w:rsid w:val="00200EBA"/>
    <w:rsid w:val="00212F48"/>
    <w:rsid w:val="002518E3"/>
    <w:rsid w:val="00255AD2"/>
    <w:rsid w:val="00260C1D"/>
    <w:rsid w:val="002B2026"/>
    <w:rsid w:val="002D5EA0"/>
    <w:rsid w:val="002F270C"/>
    <w:rsid w:val="002F44EF"/>
    <w:rsid w:val="002F6411"/>
    <w:rsid w:val="00300373"/>
    <w:rsid w:val="00304A20"/>
    <w:rsid w:val="003336CF"/>
    <w:rsid w:val="00337B05"/>
    <w:rsid w:val="00357B34"/>
    <w:rsid w:val="00360816"/>
    <w:rsid w:val="00382B68"/>
    <w:rsid w:val="00395B6C"/>
    <w:rsid w:val="003A43E8"/>
    <w:rsid w:val="003D35E8"/>
    <w:rsid w:val="003E79F8"/>
    <w:rsid w:val="00410DAC"/>
    <w:rsid w:val="00421AD5"/>
    <w:rsid w:val="00436650"/>
    <w:rsid w:val="00447AC0"/>
    <w:rsid w:val="00467097"/>
    <w:rsid w:val="00482E65"/>
    <w:rsid w:val="004838D7"/>
    <w:rsid w:val="004B5BD0"/>
    <w:rsid w:val="004E0A25"/>
    <w:rsid w:val="004F06F7"/>
    <w:rsid w:val="005108E0"/>
    <w:rsid w:val="00560725"/>
    <w:rsid w:val="005806F3"/>
    <w:rsid w:val="005807E0"/>
    <w:rsid w:val="005973A3"/>
    <w:rsid w:val="005B5AF7"/>
    <w:rsid w:val="005B6072"/>
    <w:rsid w:val="005D1EF8"/>
    <w:rsid w:val="005D7ED6"/>
    <w:rsid w:val="00616938"/>
    <w:rsid w:val="00690B5B"/>
    <w:rsid w:val="007101EC"/>
    <w:rsid w:val="00770AAC"/>
    <w:rsid w:val="00797866"/>
    <w:rsid w:val="007B5E80"/>
    <w:rsid w:val="007D4262"/>
    <w:rsid w:val="007E5104"/>
    <w:rsid w:val="008028EC"/>
    <w:rsid w:val="00846B54"/>
    <w:rsid w:val="0086582F"/>
    <w:rsid w:val="008B7A79"/>
    <w:rsid w:val="00916038"/>
    <w:rsid w:val="00924B77"/>
    <w:rsid w:val="0094486A"/>
    <w:rsid w:val="009526B6"/>
    <w:rsid w:val="0096106D"/>
    <w:rsid w:val="009712DF"/>
    <w:rsid w:val="00975C77"/>
    <w:rsid w:val="00977C8B"/>
    <w:rsid w:val="009A3BA7"/>
    <w:rsid w:val="009A4A99"/>
    <w:rsid w:val="009B0E27"/>
    <w:rsid w:val="009B7C8B"/>
    <w:rsid w:val="009F662F"/>
    <w:rsid w:val="00A0666E"/>
    <w:rsid w:val="00A21287"/>
    <w:rsid w:val="00A24217"/>
    <w:rsid w:val="00A35A70"/>
    <w:rsid w:val="00A57F35"/>
    <w:rsid w:val="00A65792"/>
    <w:rsid w:val="00A83537"/>
    <w:rsid w:val="00AA7FAA"/>
    <w:rsid w:val="00AD1804"/>
    <w:rsid w:val="00AF7EA8"/>
    <w:rsid w:val="00B021E2"/>
    <w:rsid w:val="00B15BD3"/>
    <w:rsid w:val="00B208AF"/>
    <w:rsid w:val="00B223E3"/>
    <w:rsid w:val="00B33D3F"/>
    <w:rsid w:val="00B34C87"/>
    <w:rsid w:val="00B47401"/>
    <w:rsid w:val="00B53C18"/>
    <w:rsid w:val="00B54EC0"/>
    <w:rsid w:val="00B9668F"/>
    <w:rsid w:val="00BA0011"/>
    <w:rsid w:val="00BE2C80"/>
    <w:rsid w:val="00BE731F"/>
    <w:rsid w:val="00C105CB"/>
    <w:rsid w:val="00C1193F"/>
    <w:rsid w:val="00C11D31"/>
    <w:rsid w:val="00C57684"/>
    <w:rsid w:val="00C60A0E"/>
    <w:rsid w:val="00C63211"/>
    <w:rsid w:val="00C63709"/>
    <w:rsid w:val="00C75A69"/>
    <w:rsid w:val="00CA11DB"/>
    <w:rsid w:val="00CC2CE9"/>
    <w:rsid w:val="00CC7945"/>
    <w:rsid w:val="00CD2AB5"/>
    <w:rsid w:val="00D01FD1"/>
    <w:rsid w:val="00D22AEB"/>
    <w:rsid w:val="00D27E06"/>
    <w:rsid w:val="00D568B7"/>
    <w:rsid w:val="00D7536C"/>
    <w:rsid w:val="00D9269F"/>
    <w:rsid w:val="00D95884"/>
    <w:rsid w:val="00DA06B4"/>
    <w:rsid w:val="00DA0C90"/>
    <w:rsid w:val="00DA3D19"/>
    <w:rsid w:val="00DB22EE"/>
    <w:rsid w:val="00DD7C0C"/>
    <w:rsid w:val="00DF696E"/>
    <w:rsid w:val="00E00A91"/>
    <w:rsid w:val="00E263C2"/>
    <w:rsid w:val="00E3104C"/>
    <w:rsid w:val="00E33948"/>
    <w:rsid w:val="00E372E0"/>
    <w:rsid w:val="00E42F99"/>
    <w:rsid w:val="00E445E2"/>
    <w:rsid w:val="00E53DFF"/>
    <w:rsid w:val="00E76256"/>
    <w:rsid w:val="00E9528B"/>
    <w:rsid w:val="00EF3BEB"/>
    <w:rsid w:val="00F16C11"/>
    <w:rsid w:val="00F40049"/>
    <w:rsid w:val="00F45C29"/>
    <w:rsid w:val="00F63164"/>
    <w:rsid w:val="00F77CA9"/>
    <w:rsid w:val="00F86ACE"/>
    <w:rsid w:val="00FB3300"/>
    <w:rsid w:val="00FC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964DF0-E089-48E7-B7BB-1DB01445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804"/>
    <w:pPr>
      <w:spacing w:after="200" w:line="276" w:lineRule="auto"/>
    </w:pPr>
    <w:rPr>
      <w:lang w:val="en-IN"/>
    </w:rPr>
  </w:style>
  <w:style w:type="paragraph" w:styleId="Heading1">
    <w:name w:val="heading 1"/>
    <w:basedOn w:val="Normal"/>
    <w:next w:val="Normal"/>
    <w:link w:val="Heading1Char"/>
    <w:uiPriority w:val="9"/>
    <w:qFormat/>
    <w:rsid w:val="00AD1804"/>
    <w:pPr>
      <w:keepNext/>
      <w:keepLines/>
      <w:numPr>
        <w:numId w:val="1"/>
      </w:numPr>
      <w:spacing w:before="480" w:after="0"/>
      <w:outlineLvl w:val="0"/>
    </w:pPr>
    <w:rPr>
      <w:rFonts w:asciiTheme="majorHAnsi" w:eastAsiaTheme="majorEastAsia" w:hAnsiTheme="majorHAnsi" w:cstheme="majorBidi"/>
      <w:b/>
      <w:bCs/>
      <w:color w:val="5B9BD5"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804"/>
    <w:rPr>
      <w:rFonts w:asciiTheme="majorHAnsi" w:eastAsiaTheme="majorEastAsia" w:hAnsiTheme="majorHAnsi" w:cstheme="majorBidi"/>
      <w:b/>
      <w:bCs/>
      <w:color w:val="5B9BD5" w:themeColor="accent1"/>
      <w:sz w:val="28"/>
      <w:szCs w:val="28"/>
      <w:lang w:val="en-IN"/>
    </w:rPr>
  </w:style>
  <w:style w:type="table" w:styleId="TableGrid">
    <w:name w:val="Table Grid"/>
    <w:basedOn w:val="TableNormal"/>
    <w:uiPriority w:val="59"/>
    <w:rsid w:val="00AD180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D1804"/>
    <w:pPr>
      <w:spacing w:after="0" w:line="240" w:lineRule="auto"/>
    </w:pPr>
    <w:rPr>
      <w:lang w:val="en-IN"/>
    </w:rPr>
  </w:style>
  <w:style w:type="paragraph" w:styleId="TOC1">
    <w:name w:val="toc 1"/>
    <w:basedOn w:val="Normal"/>
    <w:next w:val="Normal"/>
    <w:autoRedefine/>
    <w:uiPriority w:val="39"/>
    <w:unhideWhenUsed/>
    <w:qFormat/>
    <w:rsid w:val="00AD1804"/>
    <w:pPr>
      <w:tabs>
        <w:tab w:val="left" w:pos="440"/>
        <w:tab w:val="right" w:leader="dot" w:pos="9016"/>
      </w:tabs>
      <w:spacing w:after="100"/>
    </w:pPr>
    <w:rPr>
      <w:rFonts w:ascii="Arial" w:hAnsi="Arial" w:cs="Arial"/>
      <w:noProof/>
      <w:sz w:val="20"/>
      <w:szCs w:val="20"/>
    </w:rPr>
  </w:style>
  <w:style w:type="character" w:styleId="Hyperlink">
    <w:name w:val="Hyperlink"/>
    <w:basedOn w:val="DefaultParagraphFont"/>
    <w:uiPriority w:val="99"/>
    <w:unhideWhenUsed/>
    <w:rsid w:val="00AD1804"/>
    <w:rPr>
      <w:color w:val="0563C1" w:themeColor="hyperlink"/>
      <w:u w:val="single"/>
    </w:rPr>
  </w:style>
  <w:style w:type="paragraph" w:customStyle="1" w:styleId="Default">
    <w:name w:val="Default"/>
    <w:rsid w:val="00AD1804"/>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List Paragraph 2,List Paragraph1,Bullet List,FooterText,numbered,Paragraphe de liste,Colorful List - Accent 11,lp1,List Paragraph11,Figure_name,Equipment,Numbered Indented Text,Bullet 1,Use Case List Paragraph,b1,Bullet for no #'s,d_bodyb"/>
    <w:basedOn w:val="Normal"/>
    <w:link w:val="ListParagraphChar"/>
    <w:uiPriority w:val="34"/>
    <w:qFormat/>
    <w:rsid w:val="00AD1804"/>
    <w:pPr>
      <w:ind w:left="720"/>
      <w:contextualSpacing/>
    </w:pPr>
  </w:style>
  <w:style w:type="paragraph" w:styleId="Header">
    <w:name w:val="header"/>
    <w:basedOn w:val="Normal"/>
    <w:link w:val="HeaderChar"/>
    <w:uiPriority w:val="99"/>
    <w:unhideWhenUsed/>
    <w:rsid w:val="00AD1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804"/>
    <w:rPr>
      <w:lang w:val="en-IN"/>
    </w:rPr>
  </w:style>
  <w:style w:type="paragraph" w:styleId="Footer">
    <w:name w:val="footer"/>
    <w:basedOn w:val="Normal"/>
    <w:link w:val="FooterChar"/>
    <w:uiPriority w:val="99"/>
    <w:unhideWhenUsed/>
    <w:rsid w:val="00AD1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804"/>
    <w:rPr>
      <w:lang w:val="en-IN"/>
    </w:rPr>
  </w:style>
  <w:style w:type="character" w:customStyle="1" w:styleId="NoSpacingChar">
    <w:name w:val="No Spacing Char"/>
    <w:basedOn w:val="DefaultParagraphFont"/>
    <w:link w:val="NoSpacing"/>
    <w:uiPriority w:val="1"/>
    <w:rsid w:val="00AD1804"/>
    <w:rPr>
      <w:lang w:val="en-IN"/>
    </w:rPr>
  </w:style>
  <w:style w:type="character" w:customStyle="1" w:styleId="ListParagraphChar">
    <w:name w:val="List Paragraph Char"/>
    <w:aliases w:val="List Paragraph 2 Char,List Paragraph1 Char,Bullet List Char,FooterText Char,numbered Char,Paragraphe de liste Char,Colorful List - Accent 11 Char,lp1 Char,List Paragraph11 Char,Figure_name Char,Equipment Char,Bullet 1 Char,b1 Char"/>
    <w:link w:val="ListParagraph"/>
    <w:uiPriority w:val="34"/>
    <w:qFormat/>
    <w:locked/>
    <w:rsid w:val="00AD1804"/>
    <w:rPr>
      <w:lang w:val="en-IN"/>
    </w:rPr>
  </w:style>
  <w:style w:type="paragraph" w:styleId="BalloonText">
    <w:name w:val="Balloon Text"/>
    <w:basedOn w:val="Normal"/>
    <w:link w:val="BalloonTextChar"/>
    <w:uiPriority w:val="99"/>
    <w:semiHidden/>
    <w:unhideWhenUsed/>
    <w:rsid w:val="00D92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69F"/>
    <w:rPr>
      <w:rFonts w:ascii="Segoe UI" w:hAnsi="Segoe UI" w:cs="Segoe UI"/>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LINEKKER M R</dc:creator>
  <cp:keywords/>
  <dc:description/>
  <cp:lastModifiedBy>UMESH SINGH</cp:lastModifiedBy>
  <cp:revision>2</cp:revision>
  <cp:lastPrinted>2022-08-27T04:46:00Z</cp:lastPrinted>
  <dcterms:created xsi:type="dcterms:W3CDTF">2023-12-28T11:22:00Z</dcterms:created>
  <dcterms:modified xsi:type="dcterms:W3CDTF">2023-12-28T11:22:00Z</dcterms:modified>
</cp:coreProperties>
</file>